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Play-bold.ttf" ContentType="application/x-font-ttf"/>
  <Override PartName="/word/fonts/Play-regular.ttf" ContentType="application/x-font-ttf"/>
  <Override PartName="/word/fonts/Quicksand-bold.ttf" ContentType="application/x-font-ttf"/>
  <Override PartName="/word/fonts/Quicksand-regular.ttf" ContentType="application/x-font-ttf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rPr>
          <w:rFonts w:ascii="Quicksand" w:cs="Quicksand" w:eastAsia="Quicksand" w:hAnsi="Quicksand"/>
        </w:rPr>
      </w:pPr>
      <w:bookmarkStart w:colFirst="0" w:colLast="0" w:name="_heading=h.sm5mx7w01g92" w:id="0"/>
      <w:bookmarkEnd w:id="0"/>
      <w:r w:rsidDel="00000000" w:rsidR="00000000" w:rsidRPr="00000000">
        <w:rPr>
          <w:rFonts w:ascii="Quicksand" w:cs="Quicksand" w:eastAsia="Quicksand" w:hAnsi="Quicksand"/>
          <w:rtl w:val="0"/>
        </w:rPr>
        <w:t xml:space="preserve">Zásadné míľniky v histórii nepočujúcich ľudí vo svete a v Rakúsku</w:t>
      </w:r>
    </w:p>
    <w:p w:rsidR="00000000" w:rsidDel="00000000" w:rsidP="00000000" w:rsidRDefault="00000000" w:rsidRPr="00000000" w14:paraId="00000002">
      <w:pPr>
        <w:rPr>
          <w:rFonts w:ascii="Quicksand" w:cs="Quicksand" w:eastAsia="Quicksand" w:hAnsi="Quicksan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1"/>
        <w:keepLines w:val="1"/>
        <w:spacing w:after="0" w:before="240" w:line="259" w:lineRule="auto"/>
        <w:jc w:val="left"/>
        <w:rPr>
          <w:rFonts w:ascii="Quicksand" w:cs="Quicksand" w:eastAsia="Quicksand" w:hAnsi="Quicksand"/>
          <w:b w:val="1"/>
          <w:bCs w:val="1"/>
          <w:sz w:val="28"/>
          <w:szCs w:val="28"/>
        </w:rPr>
      </w:pPr>
      <w:r w:rsidDel="00000000" w:rsidR="00000000" w:rsidRPr="00000000">
        <w:rPr>
          <w:rFonts w:ascii="Quicksand" w:cs="Quicksand" w:eastAsia="Quicksand" w:hAnsi="Quicksand"/>
          <w:b w:val="1"/>
          <w:bCs w:val="1"/>
          <w:sz w:val="28"/>
          <w:szCs w:val="28"/>
          <w:rtl w:val="0"/>
        </w:rPr>
        <w:t xml:space="preserve">Obsah</w:t>
      </w:r>
    </w:p>
    <w:p w:rsidR="00000000" w:rsidDel="00000000" w:rsidP="00000000" w:rsidRDefault="00000000" w:rsidRPr="00000000" w14:paraId="00000004">
      <w:pPr>
        <w:rPr>
          <w:rFonts w:ascii="Quicksand" w:cs="Quicksand" w:eastAsia="Quicksand" w:hAnsi="Quicksand"/>
        </w:rPr>
      </w:pPr>
      <w:r w:rsidDel="00000000" w:rsidR="00000000" w:rsidRPr="00000000">
        <w:rPr>
          <w:rtl w:val="0"/>
        </w:rPr>
      </w:r>
    </w:p>
    <w:sdt>
      <w:sdtPr>
        <w:id w:val="-297439754"/>
        <w:docPartObj>
          <w:docPartGallery w:val="Table of Contents"/>
          <w:docPartUnique w:val="1"/>
        </w:docPartObj>
      </w:sdtPr>
      <w:sdtContent>
        <w:p w:rsidR="00000000" w:rsidDel="00000000" w:rsidP="00000000" w:rsidRDefault="00000000" w:rsidRPr="00000000" w14:paraId="00000005">
          <w:pPr>
            <w:tabs>
              <w:tab w:val="right" w:leader="none" w:pos="9062"/>
            </w:tabs>
            <w:spacing w:after="100" w:lineRule="auto"/>
            <w:rPr>
              <w:rFonts w:ascii="Quicksand" w:cs="Quicksand" w:eastAsia="Quicksand" w:hAnsi="Quicksand"/>
            </w:rPr>
          </w:pPr>
          <w:r w:rsidDel="00000000" w:rsidR="00000000" w:rsidRPr="00000000">
            <w:fldChar w:fldCharType="begin"/>
            <w:instrText xml:space="preserve"> TOC \h \u \z \t "Heading 1,1,Heading 2,2,Heading 3,3,"</w:instrText>
            <w:fldChar w:fldCharType="separate"/>
          </w:r>
          <w:hyperlink w:anchor="_heading=h.6omck7su94h">
            <w:r w:rsidDel="00000000" w:rsidR="00000000" w:rsidRPr="00000000">
              <w:rPr>
                <w:rFonts w:ascii="Quicksand" w:cs="Quicksand" w:eastAsia="Quicksand" w:hAnsi="Quicksand"/>
                <w:b w:val="1"/>
                <w:bCs w:val="1"/>
                <w:rtl w:val="0"/>
              </w:rPr>
              <w:t xml:space="preserve">Zásadné míľniky v histórii nepočujúcich ľudí vo svete	2</w:t>
              <w:tab/>
            </w:r>
          </w:hyperlink>
          <w:r w:rsidDel="00000000" w:rsidR="00000000" w:rsidRPr="00000000">
            <w:fldChar w:fldCharType="begin"/>
            <w:instrText xml:space="preserve"> PAGEREF _heading=h.6omck7su94h \h </w:instrText>
            <w:fldChar w:fldCharType="separate"/>
          </w:r>
          <w:r w:rsidDel="00000000" w:rsidR="00000000" w:rsidRPr="00000000">
            <w:rPr>
              <w:rFonts w:ascii="Quicksand" w:cs="Quicksand" w:eastAsia="Quicksand" w:hAnsi="Quicksand"/>
              <w:rtl w:val="0"/>
            </w:rPr>
            <w:t xml:space="preserve"/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6">
          <w:pPr>
            <w:tabs>
              <w:tab w:val="left" w:leader="none" w:pos="720"/>
              <w:tab w:val="right" w:leader="none" w:pos="9062"/>
            </w:tabs>
            <w:spacing w:after="100" w:lineRule="auto"/>
            <w:ind w:left="240" w:firstLine="0"/>
            <w:rPr>
              <w:rFonts w:ascii="Quicksand" w:cs="Quicksand" w:eastAsia="Quicksand" w:hAnsi="Quicksand"/>
            </w:rPr>
          </w:pPr>
          <w:hyperlink w:anchor="_heading=h.fkjxo33ffl5k"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1.    Presadenie posunkového jazyka ako legitímneho jazyka	2</w:t>
              <w:tab/>
              <w:t xml:space="preserve"/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7">
          <w:pPr>
            <w:tabs>
              <w:tab w:val="left" w:leader="none" w:pos="720"/>
              <w:tab w:val="right" w:leader="none" w:pos="9062"/>
            </w:tabs>
            <w:spacing w:after="100" w:lineRule="auto"/>
            <w:ind w:left="240" w:firstLine="0"/>
            <w:rPr>
              <w:rFonts w:ascii="Quicksand" w:cs="Quicksand" w:eastAsia="Quicksand" w:hAnsi="Quicksand"/>
            </w:rPr>
          </w:pPr>
          <w:hyperlink w:anchor="_heading=h.bk0pwkfe0jry"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2.    Vznik škôl a vzdelávacích inštitúcií pre nepočujúcich	2</w:t>
              <w:tab/>
              <w:t xml:space="preserve"/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8">
          <w:pPr>
            <w:tabs>
              <w:tab w:val="left" w:leader="none" w:pos="720"/>
              <w:tab w:val="right" w:leader="none" w:pos="9062"/>
            </w:tabs>
            <w:spacing w:after="100" w:lineRule="auto"/>
            <w:ind w:left="240" w:firstLine="0"/>
            <w:rPr>
              <w:rFonts w:ascii="Quicksand" w:cs="Quicksand" w:eastAsia="Quicksand" w:hAnsi="Quicksand"/>
            </w:rPr>
          </w:pPr>
          <w:hyperlink w:anchor="_heading=h.qcvybo7a337r"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3.   Uznanie nepočujúcich ľudí ako plnohodnotných členov spoločnosti	2</w:t>
              <w:br w:type="textWrapping"/>
              <w:tab/>
              <w:t xml:space="preserve"/>
              <w:tab/>
              <w:t xml:space="preserve"/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9">
          <w:pPr>
            <w:tabs>
              <w:tab w:val="left" w:leader="none" w:pos="720"/>
              <w:tab w:val="right" w:leader="none" w:pos="9062"/>
            </w:tabs>
            <w:spacing w:after="100" w:lineRule="auto"/>
            <w:ind w:left="240" w:firstLine="0"/>
            <w:rPr>
              <w:rFonts w:ascii="Quicksand" w:cs="Quicksand" w:eastAsia="Quicksand" w:hAnsi="Quicksand"/>
            </w:rPr>
          </w:pPr>
          <w:hyperlink w:anchor="_heading=h.c5a0yz6jgsbg"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4.    Medzinárodné uznanie posunkových jazykov a práv nepočujúcich ľudí	3</w:t>
              <w:br w:type="textWrapping"/>
              <w:tab/>
              <w:t xml:space="preserve"/>
              <w:tab/>
              <w:t xml:space="preserve"/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A">
          <w:pPr>
            <w:tabs>
              <w:tab w:val="left" w:leader="none" w:pos="720"/>
              <w:tab w:val="right" w:leader="none" w:pos="9062"/>
            </w:tabs>
            <w:spacing w:after="100" w:lineRule="auto"/>
            <w:ind w:left="240" w:firstLine="0"/>
            <w:rPr>
              <w:rFonts w:ascii="Quicksand" w:cs="Quicksand" w:eastAsia="Quicksand" w:hAnsi="Quicksand"/>
            </w:rPr>
          </w:pPr>
          <w:hyperlink w:anchor="_heading=h.k60rj5r85phd"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5.    Technologické inovácie na podporu nepočujúcich ľudí	3</w:t>
              <w:tab/>
              <w:t xml:space="preserve"/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B">
          <w:pPr>
            <w:tabs>
              <w:tab w:val="left" w:leader="none" w:pos="720"/>
              <w:tab w:val="right" w:leader="none" w:pos="9062"/>
            </w:tabs>
            <w:spacing w:after="100" w:lineRule="auto"/>
            <w:ind w:left="240" w:firstLine="0"/>
            <w:rPr>
              <w:rFonts w:ascii="Quicksand" w:cs="Quicksand" w:eastAsia="Quicksand" w:hAnsi="Quicksand"/>
            </w:rPr>
          </w:pPr>
          <w:hyperlink w:anchor="_heading=h.v8efjchqkeq3"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6.    Podpora kultúry a komunity Nepočujúcich	3</w:t>
              <w:tab/>
              <w:t xml:space="preserve"/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C">
          <w:pPr>
            <w:tabs>
              <w:tab w:val="left" w:leader="none" w:pos="720"/>
              <w:tab w:val="right" w:leader="none" w:pos="9062"/>
            </w:tabs>
            <w:spacing w:after="100" w:lineRule="auto"/>
            <w:ind w:left="240" w:firstLine="0"/>
            <w:rPr>
              <w:rFonts w:ascii="Quicksand" w:cs="Quicksand" w:eastAsia="Quicksand" w:hAnsi="Quicksand"/>
            </w:rPr>
          </w:pPr>
          <w:hyperlink w:anchor="_heading=h.aewilweml8l3"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7.    Pokrok vo výskume posunkových jazykov	4</w:t>
              <w:tab/>
              <w:t xml:space="preserve"/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D">
          <w:pPr>
            <w:tabs>
              <w:tab w:val="left" w:leader="none" w:pos="720"/>
              <w:tab w:val="right" w:leader="none" w:pos="9062"/>
            </w:tabs>
            <w:spacing w:after="100" w:lineRule="auto"/>
            <w:ind w:left="240" w:firstLine="0"/>
            <w:rPr>
              <w:rFonts w:ascii="Quicksand" w:cs="Quicksand" w:eastAsia="Quicksand" w:hAnsi="Quicksand"/>
            </w:rPr>
          </w:pPr>
          <w:hyperlink w:anchor="_heading=h.2i3asvf0jtjg"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8.    Vznik vednej disciplíny: Deaf Studies	4</w:t>
              <w:tab/>
              <w:t xml:space="preserve"/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E">
          <w:pPr>
            <w:tabs>
              <w:tab w:val="right" w:leader="none" w:pos="9062"/>
            </w:tabs>
            <w:spacing w:after="100" w:lineRule="auto"/>
            <w:ind w:left="240" w:firstLine="0"/>
            <w:rPr>
              <w:rFonts w:ascii="Quicksand" w:cs="Quicksand" w:eastAsia="Quicksand" w:hAnsi="Quicksand"/>
            </w:rPr>
          </w:pPr>
          <w:hyperlink w:anchor="_heading=h.f16wfxp2snks"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Záver	4</w:t>
              <w:tab/>
              <w:t xml:space="preserve"/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F">
          <w:pPr>
            <w:tabs>
              <w:tab w:val="right" w:leader="none" w:pos="9062"/>
            </w:tabs>
            <w:spacing w:after="100" w:lineRule="auto"/>
            <w:rPr>
              <w:rFonts w:ascii="Quicksand" w:cs="Quicksand" w:eastAsia="Quicksand" w:hAnsi="Quicksand"/>
            </w:rPr>
          </w:pPr>
          <w:hyperlink w:anchor="_heading=h.26urtdl71z72">
            <w:r w:rsidDel="00000000" w:rsidR="00000000" w:rsidRPr="00000000">
              <w:rPr>
                <w:rFonts w:ascii="Quicksand" w:cs="Quicksand" w:eastAsia="Quicksand" w:hAnsi="Quicksand"/>
                <w:b w:val="1"/>
                <w:bCs w:val="1"/>
                <w:rtl w:val="0"/>
              </w:rPr>
              <w:t xml:space="preserve">Zásadné míľniky a výsledky v Rakúsku	5</w:t>
            </w:r>
          </w:hyperlink>
          <w:hyperlink w:anchor="_heading=h.26urtdl71z72"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/>
              <w:tab/>
              <w:t xml:space="preserve"/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0">
          <w:pPr>
            <w:tabs>
              <w:tab w:val="left" w:leader="none" w:pos="720"/>
              <w:tab w:val="right" w:leader="none" w:pos="9062"/>
            </w:tabs>
            <w:spacing w:after="100" w:lineRule="auto"/>
            <w:ind w:left="240" w:firstLine="0"/>
            <w:rPr>
              <w:rFonts w:ascii="Quicksand" w:cs="Quicksand" w:eastAsia="Quicksand" w:hAnsi="Quicksand"/>
            </w:rPr>
          </w:pPr>
          <w:hyperlink w:anchor="_heading=h.7mgf98x0vdvh"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1.    Založenie prvej školy pre nepočujúcich (1779)	5</w:t>
              <w:tab/>
              <w:t xml:space="preserve"/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1">
          <w:pPr>
            <w:tabs>
              <w:tab w:val="left" w:leader="none" w:pos="720"/>
              <w:tab w:val="right" w:leader="none" w:pos="9062"/>
            </w:tabs>
            <w:spacing w:after="100" w:lineRule="auto"/>
            <w:ind w:left="240" w:firstLine="0"/>
            <w:rPr>
              <w:rFonts w:ascii="Quicksand" w:cs="Quicksand" w:eastAsia="Quicksand" w:hAnsi="Quicksand"/>
            </w:rPr>
          </w:pPr>
          <w:hyperlink w:anchor="_heading=h.4nqdqejtxi8y"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2.    Založenie WITAF (1865)	5</w:t>
              <w:tab/>
              <w:t xml:space="preserve"/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2">
          <w:pPr>
            <w:tabs>
              <w:tab w:val="left" w:leader="none" w:pos="720"/>
              <w:tab w:val="right" w:leader="none" w:pos="9062"/>
            </w:tabs>
            <w:spacing w:after="100" w:lineRule="auto"/>
            <w:ind w:left="240" w:firstLine="0"/>
            <w:rPr>
              <w:rFonts w:ascii="Quicksand" w:cs="Quicksand" w:eastAsia="Quicksand" w:hAnsi="Quicksand"/>
            </w:rPr>
          </w:pPr>
          <w:hyperlink w:anchor="_heading=h.pk62ipjc91wx"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3.    Založenie Rakúskeho zväzu nepočujúcich (ÖGLB) (1918)	5</w:t>
              <w:tab/>
              <w:t xml:space="preserve"/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3">
          <w:pPr>
            <w:tabs>
              <w:tab w:val="left" w:leader="none" w:pos="720"/>
              <w:tab w:val="right" w:leader="none" w:pos="9062"/>
            </w:tabs>
            <w:spacing w:after="100" w:lineRule="auto"/>
            <w:ind w:left="240" w:firstLine="0"/>
            <w:rPr>
              <w:rFonts w:ascii="Quicksand" w:cs="Quicksand" w:eastAsia="Quicksand" w:hAnsi="Quicksand"/>
            </w:rPr>
          </w:pPr>
          <w:hyperlink w:anchor="_heading=h.w5l4c03j381g"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4.    Uznanie rakúskeho posunkového jazyka (2005)	5</w:t>
              <w:tab/>
              <w:t xml:space="preserve"/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4">
          <w:pPr>
            <w:tabs>
              <w:tab w:val="left" w:leader="none" w:pos="720"/>
              <w:tab w:val="right" w:leader="none" w:pos="9062"/>
            </w:tabs>
            <w:spacing w:after="100" w:lineRule="auto"/>
            <w:ind w:left="240" w:firstLine="0"/>
            <w:rPr>
              <w:rFonts w:ascii="Quicksand" w:cs="Quicksand" w:eastAsia="Quicksand" w:hAnsi="Quicksand"/>
            </w:rPr>
          </w:pPr>
          <w:hyperlink w:anchor="_heading=h.yiv5rokqu133"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5.    ÖGS vyhlásený za nehmotné kultúrne dedičstvo (2013)	5</w:t>
              <w:tab/>
              <w:t xml:space="preserve"/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5">
          <w:pPr>
            <w:tabs>
              <w:tab w:val="right" w:leader="none" w:pos="9062"/>
            </w:tabs>
            <w:spacing w:after="100" w:lineRule="auto"/>
            <w:rPr>
              <w:rFonts w:ascii="Quicksand" w:cs="Quicksand" w:eastAsia="Quicksand" w:hAnsi="Quicksand"/>
            </w:rPr>
          </w:pPr>
          <w:r w:rsidDel="00000000" w:rsidR="00000000" w:rsidRPr="00000000">
            <w:rPr>
              <w:rFonts w:ascii="Quicksand" w:cs="Quicksand" w:eastAsia="Quicksand" w:hAnsi="Quicksand"/>
              <w:rtl w:val="0"/>
            </w:rPr>
            <w:t xml:space="preserve">Bibliografia	6</w:t>
          </w:r>
          <w:hyperlink w:anchor="_heading=h.v5s22brzacvn"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/>
              <w:tab/>
              <w:t xml:space="preserve"/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6">
          <w:pPr>
            <w:rPr>
              <w:rFonts w:ascii="Quicksand" w:cs="Quicksand" w:eastAsia="Quicksand" w:hAnsi="Quicksand"/>
            </w:rPr>
          </w:pPr>
          <w:r w:rsidDel="00000000" w:rsidR="00000000" w:rsidRPr="00000000">
            <w:rPr>
              <w:rtl w:val="0"/>
            </w:rPr>
          </w:r>
          <w:r w:rsidDel="00000000" w:rsidR="00000000" w:rsidRPr="00000000">
            <w:fldChar w:fldCharType="end"/>
          </w:r>
        </w:p>
      </w:sdtContent>
    </w:sdt>
    <w:p w:rsidR="00000000" w:rsidDel="00000000" w:rsidP="00000000" w:rsidRDefault="00000000" w:rsidRPr="00000000" w14:paraId="00000017">
      <w:pPr>
        <w:jc w:val="left"/>
        <w:rPr>
          <w:rFonts w:ascii="Quicksand" w:cs="Quicksand" w:eastAsia="Quicksand" w:hAnsi="Quicksand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left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Style w:val="Heading1"/>
        <w:rPr>
          <w:rFonts w:ascii="Quicksand" w:cs="Quicksand" w:eastAsia="Quicksand" w:hAnsi="Quicksand"/>
        </w:rPr>
      </w:pPr>
      <w:bookmarkStart w:colFirst="0" w:colLast="0" w:name="_heading=h.6omck7su94h" w:id="1"/>
      <w:bookmarkEnd w:id="1"/>
      <w:r w:rsidDel="00000000" w:rsidR="00000000" w:rsidRPr="00000000">
        <w:rPr>
          <w:rFonts w:ascii="Quicksand" w:cs="Quicksand" w:eastAsia="Quicksand" w:hAnsi="Quicksand"/>
          <w:rtl w:val="0"/>
        </w:rPr>
        <w:t xml:space="preserve">Zásadné míľniky v histórii nepočujúcich ľudí vo svete</w:t>
      </w:r>
    </w:p>
    <w:p w:rsidR="00000000" w:rsidDel="00000000" w:rsidP="00000000" w:rsidRDefault="00000000" w:rsidRPr="00000000" w14:paraId="0000001A">
      <w:pPr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História nepočujúcich ľudí sa vyznačuje významnými pokrokmi a úspechmi, ktoré umožnili zachovať vlastnú identitu, presadzovať vlastné práva a získať uznanie v spoločnosti. Medzi tieto pozitívne udalosti patrí uznanie posunkových jazykov, zakladanie škôl pre nepočujúcich, vznik inštitúcií a foriem politického a kultúrneho sebaurčenia. Nasleduje prehľad niektorých hlavných míľnikov svetovej histórie nepočujúcich ľudí.</w:t>
      </w:r>
    </w:p>
    <w:p w:rsidR="00000000" w:rsidDel="00000000" w:rsidP="00000000" w:rsidRDefault="00000000" w:rsidRPr="00000000" w14:paraId="0000001B">
      <w:pPr>
        <w:pStyle w:val="Heading2"/>
        <w:numPr>
          <w:ilvl w:val="0"/>
          <w:numId w:val="1"/>
        </w:numPr>
        <w:ind w:left="720" w:hanging="360"/>
        <w:rPr>
          <w:rFonts w:ascii="Quicksand" w:cs="Quicksand" w:eastAsia="Quicksand" w:hAnsi="Quicksand"/>
        </w:rPr>
      </w:pPr>
      <w:bookmarkStart w:colFirst="0" w:colLast="0" w:name="_heading=h.fkjxo33ffl5k" w:id="2"/>
      <w:bookmarkEnd w:id="2"/>
      <w:r w:rsidDel="00000000" w:rsidR="00000000" w:rsidRPr="00000000">
        <w:rPr>
          <w:rFonts w:ascii="Quicksand" w:cs="Quicksand" w:eastAsia="Quicksand" w:hAnsi="Quicksand"/>
          <w:rtl w:val="0"/>
        </w:rPr>
        <w:t xml:space="preserve">Presadenie posunkového jazyka ako plnohodnotného jazyka</w:t>
      </w:r>
    </w:p>
    <w:p w:rsidR="00000000" w:rsidDel="00000000" w:rsidP="00000000" w:rsidRDefault="00000000" w:rsidRPr="00000000" w14:paraId="0000001C">
      <w:pPr>
        <w:spacing w:after="240" w:before="240" w:lineRule="auto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Zásadným míľnikom v histórii Nepočujúcich ľudí je uznanie posunkového jazyka ako plnohodnotného jazyka. Až do 20. storočia bol posunkový jazyk často nesprávne chápaný a považovaný za menejcenný alebo neúplný. V roku 1957 americký lingvista William Stokoe začal dôkladný výskum, ktorým dokázal, že americký posunkový jazyk (ASL) je zložitý a samostatný jazyk s vlastnou gramatikou a syntaxou. Stokoeho výskumy zohrali kľúčovú úlohu pri celosvetovom uznaní posunkových jazykov ako legitímnych jazykov. Predstavovalo to pozitívny zlomový bod, ktorý nielenže zhodnotil jazyk Nepočujúcich ľudí, ale aj otvoril cestu k širšiemu uznaniu a sociálnemu začleneniu.</w:t>
      </w:r>
    </w:p>
    <w:p w:rsidR="00000000" w:rsidDel="00000000" w:rsidP="00000000" w:rsidRDefault="00000000" w:rsidRPr="00000000" w14:paraId="0000001D">
      <w:pPr>
        <w:spacing w:after="240" w:before="240" w:lineRule="auto"/>
        <w:rPr>
          <w:rFonts w:ascii="Quicksand" w:cs="Quicksand" w:eastAsia="Quicksand" w:hAnsi="Quicksand"/>
          <w:i w:val="1"/>
          <w:iCs w:val="1"/>
        </w:rPr>
      </w:pPr>
      <w:r w:rsidDel="00000000" w:rsidR="00000000" w:rsidRPr="00000000">
        <w:rPr>
          <w:rFonts w:ascii="Quicksand" w:cs="Quicksand" w:eastAsia="Quicksand" w:hAnsi="Quicksand"/>
          <w:i w:val="1"/>
          <w:iCs w:val="1"/>
          <w:rtl w:val="0"/>
        </w:rPr>
        <w:t xml:space="preserve">(pozri Rholetter Purdy 2016)</w:t>
      </w:r>
    </w:p>
    <w:p w:rsidR="00000000" w:rsidDel="00000000" w:rsidP="00000000" w:rsidRDefault="00000000" w:rsidRPr="00000000" w14:paraId="0000001E">
      <w:pPr>
        <w:spacing w:after="240" w:before="240" w:lineRule="auto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William Stokoe (1919 – 2000) (Foto: Archív Gallaudet University)</w:t>
      </w:r>
    </w:p>
    <w:p w:rsidR="00000000" w:rsidDel="00000000" w:rsidP="00000000" w:rsidRDefault="00000000" w:rsidRPr="00000000" w14:paraId="0000001F">
      <w:pPr>
        <w:pStyle w:val="Heading2"/>
        <w:numPr>
          <w:ilvl w:val="0"/>
          <w:numId w:val="1"/>
        </w:numPr>
        <w:ind w:left="720" w:hanging="360"/>
        <w:rPr>
          <w:rFonts w:ascii="Quicksand" w:cs="Quicksand" w:eastAsia="Quicksand" w:hAnsi="Quicksand"/>
        </w:rPr>
      </w:pPr>
      <w:bookmarkStart w:colFirst="0" w:colLast="0" w:name="_heading=h.77b3xu4cvbit" w:id="3"/>
      <w:bookmarkEnd w:id="3"/>
      <w:r w:rsidDel="00000000" w:rsidR="00000000" w:rsidRPr="00000000">
        <w:rPr>
          <w:rFonts w:ascii="Quicksand" w:cs="Quicksand" w:eastAsia="Quicksand" w:hAnsi="Quicksand"/>
          <w:rtl w:val="0"/>
        </w:rPr>
        <w:t xml:space="preserve">Vznik škôl a vzdelávacích inštitúcií pre nepočujúcich</w:t>
      </w:r>
    </w:p>
    <w:p w:rsidR="00000000" w:rsidDel="00000000" w:rsidP="00000000" w:rsidRDefault="00000000" w:rsidRPr="00000000" w14:paraId="00000020">
      <w:pPr>
        <w:spacing w:after="240" w:before="240" w:lineRule="auto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Ďalším významným míľnikom bolo založenie škôl pre nepočujúcich ľudí, ktoré umožnilo nepočujúcim deťom prístup k vzdelaniu. V roku 1760 francúzsky kňaz Abbé de l’Épée otvoril v Paríži prvú verejnú školu pre nepočujúcich ľudí, ktorá je považovaná za zrod moderného vzdelávania nepočujúcich. Abbé de l’Épée vyvinul štruktúrovaný systém založený na posunkovom jazyku a jeho práca položila základy pre súčasné chápanie hluchoty nielen ako postihnutia, ale aj ako kultúry.</w:t>
      </w:r>
    </w:p>
    <w:p w:rsidR="00000000" w:rsidDel="00000000" w:rsidP="00000000" w:rsidRDefault="00000000" w:rsidRPr="00000000" w14:paraId="00000021">
      <w:pPr>
        <w:spacing w:after="240" w:before="240" w:lineRule="auto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Charles-Michel de l’Épée (1712 – 1789) (Foto: Wikipedia)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Ďalšou významnou udalosťou bolo založenie Gallaudet University vo Washingtone D.C. v roku 1864, prvej univerzity na svete špecificky prístupnej pre Nepočujúcich študentov. Táto inštitúcia zohrala ústrednú úlohu v posilnení postavenia komunity Nepočujúcich a v propagovaní akademických a kultúrnych prínosov nepočujúcich ľudí.</w:t>
      </w:r>
    </w:p>
    <w:p w:rsidR="00000000" w:rsidDel="00000000" w:rsidP="00000000" w:rsidRDefault="00000000" w:rsidRPr="00000000" w14:paraId="00000023">
      <w:pPr>
        <w:spacing w:after="240" w:before="240" w:lineRule="auto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i w:val="1"/>
          <w:iCs w:val="1"/>
          <w:rtl w:val="0"/>
        </w:rPr>
        <w:t xml:space="preserve">(pozri Nieves 2016)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Gallaudet University (Foto: Gallaudet University)</w:t>
      </w:r>
    </w:p>
    <w:p w:rsidR="00000000" w:rsidDel="00000000" w:rsidP="00000000" w:rsidRDefault="00000000" w:rsidRPr="00000000" w14:paraId="00000025">
      <w:pPr>
        <w:pStyle w:val="Heading2"/>
        <w:numPr>
          <w:ilvl w:val="0"/>
          <w:numId w:val="1"/>
        </w:numPr>
        <w:ind w:left="720" w:hanging="360"/>
        <w:rPr>
          <w:rFonts w:ascii="Quicksand" w:cs="Quicksand" w:eastAsia="Quicksand" w:hAnsi="Quicksand"/>
        </w:rPr>
      </w:pPr>
      <w:bookmarkStart w:colFirst="0" w:colLast="0" w:name="_heading=h.pa7s7e6pvn6k" w:id="4"/>
      <w:bookmarkEnd w:id="4"/>
      <w:r w:rsidDel="00000000" w:rsidR="00000000" w:rsidRPr="00000000">
        <w:rPr>
          <w:rFonts w:ascii="Quicksand" w:cs="Quicksand" w:eastAsia="Quicksand" w:hAnsi="Quicksand"/>
          <w:rtl w:val="0"/>
        </w:rPr>
        <w:t xml:space="preserve">Uznanie nepočujúcich ľudí ako plnohodnotných členov spoločnosti</w:t>
      </w:r>
    </w:p>
    <w:p w:rsidR="00000000" w:rsidDel="00000000" w:rsidP="00000000" w:rsidRDefault="00000000" w:rsidRPr="00000000" w14:paraId="00000026">
      <w:pPr>
        <w:spacing w:after="240" w:before="240" w:lineRule="auto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Kľúčovým krokom v pozitívnom vývoji Nepočujúcich ľudí bolo rastúce uznanie Nepočujúcich ľudí ako plnohodnotných členov spoločnosti. Významným príkladom je protest „Deaf President Now“ z roku 1988 na Gallaudet University. Nepočujúcim študentom sa podarilo dosiahnuť zvolenie prvého Nepočujúceho prezidenta univerzity.</w:t>
      </w:r>
    </w:p>
    <w:p w:rsidR="00000000" w:rsidDel="00000000" w:rsidP="00000000" w:rsidRDefault="00000000" w:rsidRPr="00000000" w14:paraId="00000027">
      <w:pPr>
        <w:spacing w:after="240" w:before="240" w:lineRule="auto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Tento protest nebol len úspechom pre komunitu Gallaudetu, ale aj dôležitým krokom v celosvetovom boji za politické a sociálne uznanie Nepočujúcich ľudí. Toto víťazstvo posilnilo sebavedomie Nepočujúcich ľudí a ďalej upevnilo ich práva na kultúrnu a jazykovú identitu.</w:t>
      </w:r>
    </w:p>
    <w:p w:rsidR="00000000" w:rsidDel="00000000" w:rsidP="00000000" w:rsidRDefault="00000000" w:rsidRPr="00000000" w14:paraId="00000028">
      <w:pPr>
        <w:spacing w:after="240" w:before="240" w:lineRule="auto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Protest „Deaf President Now“ inšpiroval novú generáciu Nepočujúcich ľudí, aby aktívne obhajovali svoje práva a našli si hlas v spoločnosti.</w:t>
      </w:r>
    </w:p>
    <w:p w:rsidR="00000000" w:rsidDel="00000000" w:rsidP="00000000" w:rsidRDefault="00000000" w:rsidRPr="00000000" w14:paraId="00000029">
      <w:pPr>
        <w:spacing w:after="240" w:before="240" w:lineRule="auto"/>
        <w:rPr>
          <w:rFonts w:ascii="Quicksand" w:cs="Quicksand" w:eastAsia="Quicksand" w:hAnsi="Quicksand"/>
          <w:i w:val="1"/>
          <w:iCs w:val="1"/>
        </w:rPr>
      </w:pPr>
      <w:r w:rsidDel="00000000" w:rsidR="00000000" w:rsidRPr="00000000">
        <w:rPr>
          <w:rFonts w:ascii="Quicksand" w:cs="Quicksand" w:eastAsia="Quicksand" w:hAnsi="Quicksand"/>
          <w:i w:val="1"/>
          <w:iCs w:val="1"/>
          <w:rtl w:val="0"/>
        </w:rPr>
        <w:t xml:space="preserve">(pozri Lindquist Bergey/Gannon 2016)</w:t>
      </w:r>
    </w:p>
    <w:p w:rsidR="00000000" w:rsidDel="00000000" w:rsidP="00000000" w:rsidRDefault="00000000" w:rsidRPr="00000000" w14:paraId="0000002A">
      <w:pPr>
        <w:spacing w:after="240" w:before="240" w:lineRule="auto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Deaf President Now Protest (Foto: Archív Gallaudet University)</w:t>
      </w:r>
    </w:p>
    <w:p w:rsidR="00000000" w:rsidDel="00000000" w:rsidP="00000000" w:rsidRDefault="00000000" w:rsidRPr="00000000" w14:paraId="0000002B">
      <w:pPr>
        <w:pStyle w:val="Heading2"/>
        <w:numPr>
          <w:ilvl w:val="0"/>
          <w:numId w:val="1"/>
        </w:numPr>
        <w:ind w:left="720" w:hanging="360"/>
        <w:rPr>
          <w:rFonts w:ascii="Quicksand" w:cs="Quicksand" w:eastAsia="Quicksand" w:hAnsi="Quicksand"/>
        </w:rPr>
      </w:pPr>
      <w:bookmarkStart w:colFirst="0" w:colLast="0" w:name="_heading=h.6yjavui6y5lj" w:id="5"/>
      <w:bookmarkEnd w:id="5"/>
      <w:r w:rsidDel="00000000" w:rsidR="00000000" w:rsidRPr="00000000">
        <w:rPr>
          <w:rFonts w:ascii="Quicksand" w:cs="Quicksand" w:eastAsia="Quicksand" w:hAnsi="Quicksand"/>
          <w:rtl w:val="0"/>
        </w:rPr>
        <w:t xml:space="preserve">Medzinárodné uznanie posunkových jazykov a práv nepočujúcich ľudí</w:t>
      </w:r>
    </w:p>
    <w:p w:rsidR="00000000" w:rsidDel="00000000" w:rsidP="00000000" w:rsidRDefault="00000000" w:rsidRPr="00000000" w14:paraId="0000002C">
      <w:pPr>
        <w:spacing w:after="240" w:before="240" w:lineRule="auto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Ďalším dôležitým pokrokom bolo medzinárodné uznanie práv Nepočujúcich ľudí. V roku 2006 bol prijatý „Dohovor OSN o právach osôb so zdravotným postihnutím“, ktorý zaručuje Nepočujúcim ľuďom na celom svete právo na vzdelávanie v posunkovom jazyku, na prístup k informáciám a na plnú účasť v spoločnosti. Tento Dohovor predstavuje historický úspech, pretože zdôraznil práva Nepočujúcich ľudí na globálnej úrovni a vytvoril základy pre právnu ochranu.</w:t>
      </w:r>
      <w:r w:rsidDel="00000000" w:rsidR="00000000" w:rsidRPr="00000000">
        <w:rPr>
          <w:rFonts w:ascii="Quicksand" w:cs="Quicksand" w:eastAsia="Quicksand" w:hAnsi="Quicksand"/>
          <w:b w:val="1"/>
          <w:bCs w:val="1"/>
          <w:rtl w:val="0"/>
        </w:rPr>
        <w:t xml:space="preserve"/>
      </w:r>
      <w:r w:rsidDel="00000000" w:rsidR="00000000" w:rsidRPr="00000000">
        <w:rPr>
          <w:rFonts w:ascii="Quicksand" w:cs="Quicksand" w:eastAsia="Quicksand" w:hAnsi="Quicksand"/>
          <w:rtl w:val="0"/>
        </w:rPr>
        <w:t xml:space="preserve"/>
      </w:r>
    </w:p>
    <w:p w:rsidR="00000000" w:rsidDel="00000000" w:rsidP="00000000" w:rsidRDefault="00000000" w:rsidRPr="00000000" w14:paraId="0000002D">
      <w:pPr>
        <w:spacing w:after="240" w:before="240" w:lineRule="auto"/>
        <w:rPr>
          <w:rFonts w:ascii="Quicksand" w:cs="Quicksand" w:eastAsia="Quicksand" w:hAnsi="Quicksand"/>
          <w:i w:val="1"/>
          <w:iCs w:val="1"/>
        </w:rPr>
      </w:pPr>
      <w:r w:rsidDel="00000000" w:rsidR="00000000" w:rsidRPr="00000000">
        <w:rPr>
          <w:rFonts w:ascii="Quicksand" w:cs="Quicksand" w:eastAsia="Quicksand" w:hAnsi="Quicksand"/>
          <w:i w:val="1"/>
          <w:iCs w:val="1"/>
          <w:rtl w:val="0"/>
        </w:rPr>
        <w:t xml:space="preserve">(pozri Pabsch 2016)</w:t>
      </w:r>
    </w:p>
    <w:p w:rsidR="00000000" w:rsidDel="00000000" w:rsidP="00000000" w:rsidRDefault="00000000" w:rsidRPr="00000000" w14:paraId="0000002E">
      <w:pPr>
        <w:spacing w:after="240" w:before="240" w:lineRule="auto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Mimoriadne pozitívnym signálom uznania posunkových jazykov bolo ustanovenie „Medzinárodného dňa posunkových jazykov“, ktorý sa každoročne oslavuje 23. septembra. Tento deň prispel k zvýšeniu povedomia o význame posunkového jazyka ako kultúrneho a identitárneho prvku Nepočujúcich ľudí.</w:t>
      </w:r>
      <w:r w:rsidDel="00000000" w:rsidR="00000000" w:rsidRPr="00000000">
        <w:rPr>
          <w:rFonts w:ascii="Quicksand" w:cs="Quicksand" w:eastAsia="Quicksand" w:hAnsi="Quicksand"/>
          <w:b w:val="1"/>
          <w:bCs w:val="1"/>
          <w:rtl w:val="0"/>
        </w:rPr>
        <w:t xml:space="preserve"/>
      </w:r>
      <w:r w:rsidDel="00000000" w:rsidR="00000000" w:rsidRPr="00000000">
        <w:rPr>
          <w:rFonts w:ascii="Quicksand" w:cs="Quicksand" w:eastAsia="Quicksand" w:hAnsi="Quicksand"/>
          <w:rtl w:val="0"/>
        </w:rPr>
        <w:t xml:space="preserve"/>
      </w:r>
    </w:p>
    <w:p w:rsidR="00000000" w:rsidDel="00000000" w:rsidP="00000000" w:rsidRDefault="00000000" w:rsidRPr="00000000" w14:paraId="0000002F">
      <w:pPr>
        <w:spacing w:after="240" w:before="240" w:lineRule="auto"/>
        <w:rPr>
          <w:rFonts w:ascii="Quicksand" w:cs="Quicksand" w:eastAsia="Quicksand" w:hAnsi="Quicksand"/>
          <w:i w:val="1"/>
          <w:iCs w:val="1"/>
        </w:rPr>
      </w:pPr>
      <w:r w:rsidDel="00000000" w:rsidR="00000000" w:rsidRPr="00000000">
        <w:rPr>
          <w:rFonts w:ascii="Quicksand" w:cs="Quicksand" w:eastAsia="Quicksand" w:hAnsi="Quicksand"/>
          <w:i w:val="1"/>
          <w:iCs w:val="1"/>
          <w:rtl w:val="0"/>
        </w:rPr>
        <w:t xml:space="preserve">(pozri Moss 2016)</w:t>
      </w:r>
    </w:p>
    <w:p w:rsidR="00000000" w:rsidDel="00000000" w:rsidP="00000000" w:rsidRDefault="00000000" w:rsidRPr="00000000" w14:paraId="00000030">
      <w:pPr>
        <w:spacing w:after="240" w:before="240" w:lineRule="auto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Flashmob k Medzinárodnému dňu posunkových jazykov 2024 na hlavnej stanici vo Viedni (Foto: ÖBB/Andreas Scheiblecker)</w:t>
      </w:r>
    </w:p>
    <w:p w:rsidR="00000000" w:rsidDel="00000000" w:rsidP="00000000" w:rsidRDefault="00000000" w:rsidRPr="00000000" w14:paraId="00000031">
      <w:pPr>
        <w:pStyle w:val="Heading2"/>
        <w:numPr>
          <w:ilvl w:val="0"/>
          <w:numId w:val="1"/>
        </w:numPr>
        <w:ind w:left="720" w:hanging="360"/>
        <w:rPr>
          <w:rFonts w:ascii="Quicksand" w:cs="Quicksand" w:eastAsia="Quicksand" w:hAnsi="Quicksand"/>
        </w:rPr>
      </w:pPr>
      <w:bookmarkStart w:colFirst="0" w:colLast="0" w:name="_heading=h.1jsrck9ps7vc" w:id="6"/>
      <w:bookmarkEnd w:id="6"/>
      <w:r w:rsidDel="00000000" w:rsidR="00000000" w:rsidRPr="00000000">
        <w:rPr>
          <w:rFonts w:ascii="Quicksand" w:cs="Quicksand" w:eastAsia="Quicksand" w:hAnsi="Quicksand"/>
          <w:rtl w:val="0"/>
        </w:rPr>
        <w:t xml:space="preserve">Technologické inovácie na podporu nepočujúcich ľudí</w:t>
      </w:r>
    </w:p>
    <w:p w:rsidR="00000000" w:rsidDel="00000000" w:rsidP="00000000" w:rsidRDefault="00000000" w:rsidRPr="00000000" w14:paraId="00000032">
      <w:pPr>
        <w:spacing w:after="240" w:before="240" w:lineRule="auto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Od roku 2000 došlo k významným technologickým pokrokom, ako sú moderné služby titulkovania, smartfóny a videohovory, ktoré výrazne uľahčili nepočujúcim ľuďom prístup k informáciám a komunikáciu s ostatnými.</w:t>
      </w:r>
    </w:p>
    <w:p w:rsidR="00000000" w:rsidDel="00000000" w:rsidP="00000000" w:rsidRDefault="00000000" w:rsidRPr="00000000" w14:paraId="00000033">
      <w:pPr>
        <w:spacing w:after="240" w:before="240" w:lineRule="auto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Tieto technologické inovácie prispeli k lepšiemu začleneniu nepočujúcich osôb do vzdelávania, práce a každodenného života.</w:t>
      </w:r>
    </w:p>
    <w:p w:rsidR="00000000" w:rsidDel="00000000" w:rsidP="00000000" w:rsidRDefault="00000000" w:rsidRPr="00000000" w14:paraId="00000034">
      <w:pPr>
        <w:spacing w:after="240" w:before="240" w:lineRule="auto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i w:val="1"/>
          <w:iCs w:val="1"/>
          <w:rtl w:val="0"/>
        </w:rPr>
        <w:t xml:space="preserve">(pozri Bravin 2016)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Style w:val="Heading2"/>
        <w:numPr>
          <w:ilvl w:val="0"/>
          <w:numId w:val="1"/>
        </w:numPr>
        <w:ind w:left="720" w:hanging="360"/>
        <w:rPr>
          <w:rFonts w:ascii="Quicksand" w:cs="Quicksand" w:eastAsia="Quicksand" w:hAnsi="Quicksand"/>
        </w:rPr>
      </w:pPr>
      <w:bookmarkStart w:colFirst="0" w:colLast="0" w:name="_heading=h.2mrhw3oa8r7g" w:id="7"/>
      <w:bookmarkEnd w:id="7"/>
      <w:r w:rsidDel="00000000" w:rsidR="00000000" w:rsidRPr="00000000">
        <w:rPr>
          <w:rFonts w:ascii="Quicksand" w:cs="Quicksand" w:eastAsia="Quicksand" w:hAnsi="Quicksand"/>
          <w:rtl w:val="0"/>
        </w:rPr>
        <w:t xml:space="preserve">Podpora kultúry a komunity Nepočujúcich</w:t>
      </w:r>
    </w:p>
    <w:p w:rsidR="00000000" w:rsidDel="00000000" w:rsidP="00000000" w:rsidRDefault="00000000" w:rsidRPr="00000000" w14:paraId="00000036">
      <w:pPr>
        <w:spacing w:after="240" w:before="240" w:lineRule="auto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V posledných desaťročiach sa kultúra Nepočujúcich čoraz viac etablovala ako samostatná kultúra s vlastnou históriou, umením a tradíciami. Obzvlášť významným vývojom bol vznik a uznanie Deaf Arts (umenia Nepočujúcich), ktoré zahŕňa divadlo v posunkovom jazyku, literatúru a hudbu. Aj filmy Nepočujúcich, ktoré rozprávajú o svete z pohľadu nepočujúcich osôb, predstavujú dôležité kultúrne obohatenie komunity Nepočujúcich.</w:t>
      </w:r>
      <w:r w:rsidDel="00000000" w:rsidR="00000000" w:rsidRPr="00000000">
        <w:rPr>
          <w:rFonts w:ascii="Quicksand" w:cs="Quicksand" w:eastAsia="Quicksand" w:hAnsi="Quicksand"/>
          <w:b w:val="1"/>
          <w:bCs w:val="1"/>
          <w:rtl w:val="0"/>
        </w:rPr>
        <w:t xml:space="preserve"/>
      </w:r>
      <w:r w:rsidDel="00000000" w:rsidR="00000000" w:rsidRPr="00000000">
        <w:rPr>
          <w:rFonts w:ascii="Quicksand" w:cs="Quicksand" w:eastAsia="Quicksand" w:hAnsi="Quicksand"/>
          <w:rtl w:val="0"/>
        </w:rPr>
        <w:t xml:space="preserve"/>
      </w:r>
    </w:p>
    <w:p w:rsidR="00000000" w:rsidDel="00000000" w:rsidP="00000000" w:rsidRDefault="00000000" w:rsidRPr="00000000" w14:paraId="00000037">
      <w:pPr>
        <w:spacing w:after="240" w:before="240" w:lineRule="auto"/>
        <w:rPr>
          <w:rFonts w:ascii="Quicksand" w:cs="Quicksand" w:eastAsia="Quicksand" w:hAnsi="Quicksand"/>
          <w:i w:val="1"/>
          <w:iCs w:val="1"/>
        </w:rPr>
      </w:pPr>
      <w:r w:rsidDel="00000000" w:rsidR="00000000" w:rsidRPr="00000000">
        <w:rPr>
          <w:rFonts w:ascii="Quicksand" w:cs="Quicksand" w:eastAsia="Quicksand" w:hAnsi="Quicksand"/>
          <w:i w:val="1"/>
          <w:iCs w:val="1"/>
          <w:rtl w:val="0"/>
        </w:rPr>
        <w:t xml:space="preserve">(pozri Rholetter 2016)</w:t>
      </w:r>
    </w:p>
    <w:p w:rsidR="00000000" w:rsidDel="00000000" w:rsidP="00000000" w:rsidRDefault="00000000" w:rsidRPr="00000000" w14:paraId="00000038">
      <w:pPr>
        <w:spacing w:after="240" w:before="240" w:lineRule="auto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Okrem toho sa v mnohých krajinách rozvinulo hnutie Deaf Pride, ktoré posilnilo povedomie o identite a právach nepočujúcich osôb a podporilo väčšie sociálne začlenenie. Pojem „Deaf Culture“ sa vzťahuje na kultúrnu identitu nepočujúcich osôb, ktoré si s hrdosťou zachovávajú vlastný jazyk, históriu a hodnoty.</w:t>
      </w:r>
      <w:r w:rsidDel="00000000" w:rsidR="00000000" w:rsidRPr="00000000">
        <w:rPr>
          <w:rFonts w:ascii="Quicksand" w:cs="Quicksand" w:eastAsia="Quicksand" w:hAnsi="Quicksand"/>
          <w:b w:val="1"/>
          <w:bCs w:val="1"/>
          <w:rtl w:val="0"/>
        </w:rPr>
        <w:t xml:space="preserve"/>
      </w:r>
      <w:r w:rsidDel="00000000" w:rsidR="00000000" w:rsidRPr="00000000">
        <w:rPr>
          <w:rFonts w:ascii="Quicksand" w:cs="Quicksand" w:eastAsia="Quicksand" w:hAnsi="Quicksand"/>
          <w:rtl w:val="0"/>
        </w:rPr>
        <w:t xml:space="preserve"/>
      </w:r>
    </w:p>
    <w:p w:rsidR="00000000" w:rsidDel="00000000" w:rsidP="00000000" w:rsidRDefault="00000000" w:rsidRPr="00000000" w14:paraId="00000039">
      <w:pPr>
        <w:spacing w:after="240" w:before="240" w:lineRule="auto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i w:val="1"/>
          <w:iCs w:val="1"/>
          <w:rtl w:val="0"/>
        </w:rPr>
        <w:t xml:space="preserve">(pozri Emery 2016)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Style w:val="Heading2"/>
        <w:numPr>
          <w:ilvl w:val="0"/>
          <w:numId w:val="1"/>
        </w:numPr>
        <w:ind w:left="720" w:hanging="360"/>
        <w:rPr>
          <w:rFonts w:ascii="Quicksand" w:cs="Quicksand" w:eastAsia="Quicksand" w:hAnsi="Quicksand"/>
        </w:rPr>
      </w:pPr>
      <w:bookmarkStart w:colFirst="0" w:colLast="0" w:name="_heading=h.aocyggj14h40" w:id="8"/>
      <w:bookmarkEnd w:id="8"/>
      <w:r w:rsidDel="00000000" w:rsidR="00000000" w:rsidRPr="00000000">
        <w:rPr>
          <w:rFonts w:ascii="Quicksand" w:cs="Quicksand" w:eastAsia="Quicksand" w:hAnsi="Quicksand"/>
          <w:rtl w:val="0"/>
        </w:rPr>
        <w:t xml:space="preserve">Pokrok vo výskume posunkových jazykov</w:t>
      </w:r>
    </w:p>
    <w:p w:rsidR="00000000" w:rsidDel="00000000" w:rsidP="00000000" w:rsidRDefault="00000000" w:rsidRPr="00000000" w14:paraId="0000003B">
      <w:pPr>
        <w:spacing w:after="240" w:before="240" w:lineRule="auto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Vedecké uznanie a štúdium posunkových jazykov predstavuje ďalšiu dôležitú pozitívnu etapu. Vznik univerzít a výskumných inštitútov špecializovaných na lingvistiku posunkových jazykov umožnil hlbšie porozumenie posunkového jazyka ako úplného a komplexného jazyka.</w:t>
      </w:r>
    </w:p>
    <w:p w:rsidR="00000000" w:rsidDel="00000000" w:rsidP="00000000" w:rsidRDefault="00000000" w:rsidRPr="00000000" w14:paraId="0000003C">
      <w:pPr>
        <w:spacing w:after="240" w:before="240" w:lineRule="auto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Tieto výskumy nielen potvrdili lingvistický význam posunkových jazykov, ale aj rozšírili chápanie toho, ako posunkový jazyk ovplyvňuje myslenie a vnímanie Nepočujúcich osôb.</w:t>
      </w:r>
    </w:p>
    <w:p w:rsidR="00000000" w:rsidDel="00000000" w:rsidP="00000000" w:rsidRDefault="00000000" w:rsidRPr="00000000" w14:paraId="0000003D">
      <w:pPr>
        <w:spacing w:after="240" w:before="240" w:lineRule="auto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i w:val="1"/>
          <w:iCs w:val="1"/>
          <w:rtl w:val="0"/>
        </w:rPr>
        <w:t xml:space="preserve">(pozri Bauman/Murray 2016)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Style w:val="Heading2"/>
        <w:numPr>
          <w:ilvl w:val="0"/>
          <w:numId w:val="1"/>
        </w:numPr>
        <w:ind w:left="720" w:hanging="360"/>
        <w:rPr>
          <w:rFonts w:ascii="Quicksand" w:cs="Quicksand" w:eastAsia="Quicksand" w:hAnsi="Quicksand"/>
        </w:rPr>
      </w:pPr>
      <w:bookmarkStart w:colFirst="0" w:colLast="0" w:name="_heading=h.2i3asvf0jtjg" w:id="9"/>
      <w:bookmarkEnd w:id="9"/>
      <w:r w:rsidDel="00000000" w:rsidR="00000000" w:rsidRPr="00000000">
        <w:rPr>
          <w:rFonts w:ascii="Quicksand" w:cs="Quicksand" w:eastAsia="Quicksand" w:hAnsi="Quicksand"/>
          <w:rtl w:val="0"/>
        </w:rPr>
        <w:t xml:space="preserve">Vznik disciplíny: Deaf Studies</w:t>
      </w:r>
    </w:p>
    <w:p w:rsidR="00000000" w:rsidDel="00000000" w:rsidP="00000000" w:rsidRDefault="00000000" w:rsidRPr="00000000" w14:paraId="0000003F">
      <w:pPr>
        <w:spacing w:after="240" w:before="240" w:lineRule="auto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Oblasť Deaf Studies vznikla z hnutia Nepočujúcich v 70. rokoch 20. storočia. Spočiatku pozostávala z niekoľkých seminárov, ale v 80. a 90. rokoch sa rozvinula až do podoby bakalárskeho študijného programu a následne aj magisterského programu na Gallaudet University vo Washingtone D.C.</w:t>
      </w:r>
      <w:r w:rsidDel="00000000" w:rsidR="00000000" w:rsidRPr="00000000">
        <w:rPr>
          <w:rFonts w:ascii="Quicksand" w:cs="Quicksand" w:eastAsia="Quicksand" w:hAnsi="Quicksand"/>
          <w:b w:val="1"/>
          <w:bCs w:val="1"/>
          <w:rtl w:val="0"/>
        </w:rPr>
        <w:t xml:space="preserve"/>
      </w:r>
      <w:r w:rsidDel="00000000" w:rsidR="00000000" w:rsidRPr="00000000">
        <w:rPr>
          <w:rFonts w:ascii="Quicksand" w:cs="Quicksand" w:eastAsia="Quicksand" w:hAnsi="Quicksand"/>
          <w:rtl w:val="0"/>
        </w:rPr>
        <w:t xml:space="preserve"/>
      </w:r>
    </w:p>
    <w:p w:rsidR="00000000" w:rsidDel="00000000" w:rsidP="00000000" w:rsidRDefault="00000000" w:rsidRPr="00000000" w14:paraId="00000040">
      <w:pPr>
        <w:spacing w:after="240" w:before="240" w:lineRule="auto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Deaf Studies sa zameriavajú na opis identity Nepočujúcich ako kultúrneho, a nie patologického fenoménu (Murray &amp; Bauman 2014), čím predstavujú zmenu oproti iným disciplínam, najmä medicíne a vzdelávaniu, ktoré prijímajú audiologický pohľad na hluchotu bez zohľadnenia mocenských dynamík, ktoré sú s ňou spojené.</w:t>
      </w:r>
    </w:p>
    <w:p w:rsidR="00000000" w:rsidDel="00000000" w:rsidP="00000000" w:rsidRDefault="00000000" w:rsidRPr="00000000" w14:paraId="00000041">
      <w:pPr>
        <w:spacing w:after="240" w:before="240" w:lineRule="auto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→ Hluchota ako sebaurčený a odlišný spôsob bytia, nie ako deficit alebo postihnutie → Koncept Deaf Gain ako protiklad „straty sluchu“: pozitívny pohľad na hluchotu ako obohatenie</w:t>
        <w:br w:type="textWrapping"/>
        <w:t xml:space="preserve"/>
      </w:r>
      <w:r w:rsidDel="00000000" w:rsidR="00000000" w:rsidRPr="00000000">
        <w:rPr>
          <w:rFonts w:ascii="Quicksand" w:cs="Quicksand" w:eastAsia="Quicksand" w:hAnsi="Quicksand"/>
          <w:b w:val="1"/>
          <w:bCs w:val="1"/>
          <w:rtl w:val="0"/>
        </w:rPr>
        <w:t xml:space="preserve"/>
      </w:r>
      <w:r w:rsidDel="00000000" w:rsidR="00000000" w:rsidRPr="00000000">
        <w:rPr>
          <w:rFonts w:ascii="Quicksand" w:cs="Quicksand" w:eastAsia="Quicksand" w:hAnsi="Quicksand"/>
          <w:rtl w:val="0"/>
        </w:rPr>
        <w:t xml:space="preserve"/>
      </w:r>
    </w:p>
    <w:p w:rsidR="00000000" w:rsidDel="00000000" w:rsidP="00000000" w:rsidRDefault="00000000" w:rsidRPr="00000000" w14:paraId="00000042">
      <w:pPr>
        <w:pStyle w:val="Heading2"/>
        <w:rPr>
          <w:rFonts w:ascii="Quicksand" w:cs="Quicksand" w:eastAsia="Quicksand" w:hAnsi="Quicksand"/>
        </w:rPr>
      </w:pPr>
      <w:bookmarkStart w:colFirst="0" w:colLast="0" w:name="_heading=h.f16wfxp2snks" w:id="10"/>
      <w:bookmarkEnd w:id="10"/>
      <w:r w:rsidDel="00000000" w:rsidR="00000000" w:rsidRPr="00000000">
        <w:rPr>
          <w:rFonts w:ascii="Quicksand" w:cs="Quicksand" w:eastAsia="Quicksand" w:hAnsi="Quicksand"/>
          <w:rtl w:val="0"/>
        </w:rPr>
        <w:t xml:space="preserve">Záver</w:t>
      </w:r>
    </w:p>
    <w:p w:rsidR="00000000" w:rsidDel="00000000" w:rsidP="00000000" w:rsidRDefault="00000000" w:rsidRPr="00000000" w14:paraId="00000043">
      <w:pPr>
        <w:spacing w:after="240" w:before="240" w:lineRule="auto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História nepočujúcich osôb vo svete je históriou pokroku, boja za uznanie a rozvoja osobitej kultúrnej identity. Uznanie posunkového jazyka ako plnohodnotného jazyka, vznik škôl a univerzít pre nepočujúce osoby, posilnenie politických a kultúrnych práv a zavedenie inovatívnych technológií otvorili nové príležitosti a podporili väčšie začlenenie do spoločnosti.</w:t>
      </w:r>
    </w:p>
    <w:p w:rsidR="00000000" w:rsidDel="00000000" w:rsidP="00000000" w:rsidRDefault="00000000" w:rsidRPr="00000000" w14:paraId="00000044">
      <w:pPr>
        <w:spacing w:after="240" w:before="240" w:lineRule="auto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Hoci stále zostáva mnoho výziev, tieto pozitívne etapy predstavujú znak neustáleho pokroku a trvalého úsilia komunity Nepočujúcich, ktorá bude aj v budúcnosti pokračovať v presadzovaní inkluzívnejšej a spravodlivejšej spoločnosti.</w:t>
      </w:r>
    </w:p>
    <w:p w:rsidR="00000000" w:rsidDel="00000000" w:rsidP="00000000" w:rsidRDefault="00000000" w:rsidRPr="00000000" w14:paraId="00000045">
      <w:pPr>
        <w:pStyle w:val="Heading1"/>
        <w:rPr>
          <w:rFonts w:ascii="Quicksand" w:cs="Quicksand" w:eastAsia="Quicksand" w:hAnsi="Quicksand"/>
        </w:rPr>
      </w:pPr>
      <w:bookmarkStart w:colFirst="0" w:colLast="0" w:name="_heading=h.mzihj69pyf1v" w:id="11"/>
      <w:bookmarkEnd w:id="11"/>
      <w:r w:rsidDel="00000000" w:rsidR="00000000" w:rsidRPr="00000000">
        <w:rPr>
          <w:rFonts w:ascii="Quicksand" w:cs="Quicksand" w:eastAsia="Quicksand" w:hAnsi="Quicksand"/>
          <w:rtl w:val="0"/>
        </w:rPr>
        <w:t xml:space="preserve">Kľúčové etapy a úspechy v Rakúsku</w:t>
      </w:r>
    </w:p>
    <w:p w:rsidR="00000000" w:rsidDel="00000000" w:rsidP="00000000" w:rsidRDefault="00000000" w:rsidRPr="00000000" w14:paraId="00000046">
      <w:pPr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História nepočujúcich osôb v Rakúsku sa vyznačuje dôležitými etapami, ktoré prispeli k uznaniu kultúry Nepočujúcich a rakúskeho posunkového jazyka ako plnohodnotnej formy komunikácie. Nižšie sú uvedené niektoré z hlavných úspechov v histórii nepočujúcich osôb v Rakúsku:</w:t>
      </w:r>
    </w:p>
    <w:p w:rsidR="00000000" w:rsidDel="00000000" w:rsidP="00000000" w:rsidRDefault="00000000" w:rsidRPr="00000000" w14:paraId="00000047">
      <w:pPr>
        <w:pStyle w:val="Heading2"/>
        <w:numPr>
          <w:ilvl w:val="0"/>
          <w:numId w:val="2"/>
        </w:numPr>
        <w:ind w:left="720" w:hanging="360"/>
        <w:rPr>
          <w:rFonts w:ascii="Quicksand" w:cs="Quicksand" w:eastAsia="Quicksand" w:hAnsi="Quicksand"/>
        </w:rPr>
      </w:pPr>
      <w:bookmarkStart w:colFirst="0" w:colLast="0" w:name="_heading=h.7mgf98x0vdvh" w:id="12"/>
      <w:bookmarkEnd w:id="12"/>
      <w:r w:rsidDel="00000000" w:rsidR="00000000" w:rsidRPr="00000000">
        <w:rPr>
          <w:rFonts w:ascii="Quicksand" w:cs="Quicksand" w:eastAsia="Quicksand" w:hAnsi="Quicksand"/>
          <w:rtl w:val="0"/>
        </w:rPr>
        <w:t xml:space="preserve">Založenie prvej školy pre nepočujúcich (1779)</w:t>
      </w:r>
    </w:p>
    <w:p w:rsidR="00000000" w:rsidDel="00000000" w:rsidP="00000000" w:rsidRDefault="00000000" w:rsidRPr="00000000" w14:paraId="00000048">
      <w:pPr>
        <w:ind w:left="720" w:firstLine="0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Prvým dôležitým krokom v histórii nepočujúcich osôb v Rakúsku bolo založenie prvej školy pre nepočujúce osoby vo Viedni v roku 1779. Táto škola, ktorú založil Johann Friedrich Stork, položila základy vzdelávania nepočujúcich osôb. Bola jednou z prvých v Európe, ktorá poskytovala špecializované vzdelávanie pre nepočujúce deti.</w:t>
      </w:r>
    </w:p>
    <w:p w:rsidR="00000000" w:rsidDel="00000000" w:rsidP="00000000" w:rsidRDefault="00000000" w:rsidRPr="00000000" w14:paraId="00000049">
      <w:pPr>
        <w:pStyle w:val="Heading2"/>
        <w:numPr>
          <w:ilvl w:val="0"/>
          <w:numId w:val="2"/>
        </w:numPr>
        <w:ind w:left="720" w:hanging="360"/>
        <w:rPr>
          <w:rFonts w:ascii="Quicksand" w:cs="Quicksand" w:eastAsia="Quicksand" w:hAnsi="Quicksand"/>
        </w:rPr>
      </w:pPr>
      <w:bookmarkStart w:colFirst="0" w:colLast="0" w:name="_heading=h.4nqdqejtxi8y" w:id="13"/>
      <w:bookmarkEnd w:id="13"/>
      <w:r w:rsidDel="00000000" w:rsidR="00000000" w:rsidRPr="00000000">
        <w:rPr>
          <w:rFonts w:ascii="Quicksand" w:cs="Quicksand" w:eastAsia="Quicksand" w:hAnsi="Quicksand"/>
          <w:rtl w:val="0"/>
        </w:rPr>
        <w:t xml:space="preserve">Založenie WITAF (1865)</w:t>
      </w:r>
    </w:p>
    <w:p w:rsidR="00000000" w:rsidDel="00000000" w:rsidP="00000000" w:rsidRDefault="00000000" w:rsidRPr="00000000" w14:paraId="0000004A">
      <w:pPr>
        <w:spacing w:after="240" w:before="240" w:lineRule="auto"/>
        <w:ind w:left="708" w:firstLine="0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WITAF (Viedenské združenie pre pomoc nepočujúcim osobám) bolo založené v roku 1865. Pôvodne nazývané „Wiener Taubstummenfürsorgeverband“, bolo prvým združením pre nepočujúce osoby, ktoré založili Alexander Venus, riaditeľ c. a k. ústavu pre nepočujúcich, a Adalbert Lampe. V roku 2018 bol názov združenia oficiálne zmenený na „WITAF – Seit 1865 im Dienste der Gehörlosen“, čím sa odstránil dnes za diskriminačný považovaný výraz „taubstumm“, pričom akronym sa z historických dôvodov zachoval.</w:t>
      </w:r>
      <w:r w:rsidDel="00000000" w:rsidR="00000000" w:rsidRPr="00000000">
        <w:rPr>
          <w:rFonts w:ascii="Quicksand" w:cs="Quicksand" w:eastAsia="Quicksand" w:hAnsi="Quicksand"/>
          <w:b w:val="1"/>
          <w:bCs w:val="1"/>
          <w:rtl w:val="0"/>
        </w:rPr>
        <w:t xml:space="preserve"/>
      </w:r>
      <w:r w:rsidDel="00000000" w:rsidR="00000000" w:rsidRPr="00000000">
        <w:rPr>
          <w:rFonts w:ascii="Quicksand" w:cs="Quicksand" w:eastAsia="Quicksand" w:hAnsi="Quicksand"/>
          <w:rtl w:val="0"/>
        </w:rPr>
        <w:t xml:space="preserv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8" w:lineRule="auto"/>
        <w:ind w:left="720" w:right="0" w:hanging="360"/>
        <w:jc w:val="both"/>
        <w:rPr>
          <w:rFonts w:ascii="Quicksand" w:cs="Quicksand" w:eastAsia="Quicksand" w:hAnsi="Quicksand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bookmarkStart w:colFirst="0" w:colLast="0" w:name="_heading=h.pk62ipjc91wx" w:id="14"/>
      <w:bookmarkEnd w:id="14"/>
      <w:r w:rsidDel="00000000" w:rsidR="00000000" w:rsidRPr="00000000">
        <w:rPr>
          <w:rFonts w:ascii="Quicksand" w:cs="Quicksand" w:eastAsia="Quicksand" w:hAnsi="Quicksand"/>
          <w:b w:val="1"/>
          <w:bCs w:val="1"/>
          <w:rtl w:val="0"/>
        </w:rPr>
        <w:t xml:space="preserve">Založenie Rakúskeho zväzu nepočujúcich (ÖGLB) (1918)</w:t>
      </w:r>
      <w:r w:rsidDel="00000000" w:rsidR="00000000" w:rsidRPr="00000000">
        <w:rPr>
          <w:rFonts w:ascii="Quicksand" w:cs="Quicksand" w:eastAsia="Quicksand" w:hAnsi="Quicksand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240" w:before="240" w:lineRule="auto"/>
        <w:ind w:left="708" w:firstLine="0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Rakúsky zväz nepočujúcich (ÖGLB) bol založený v roku 1918 a zaoberá sa obhajobou práv Nepočujúcich osôb. Zohráva ústrednú úlohu pri zvyšovaní povedomia o potrebách komunity Nepočujúcich a usiluje sa o zlepšenie ich životných podmienok. ÖGLB sa stal dôležitou referenčnou sieťou pre nepočujúce osoby v Rakúsku.</w:t>
      </w:r>
    </w:p>
    <w:p w:rsidR="00000000" w:rsidDel="00000000" w:rsidP="00000000" w:rsidRDefault="00000000" w:rsidRPr="00000000" w14:paraId="0000004D">
      <w:pPr>
        <w:pStyle w:val="Heading2"/>
        <w:numPr>
          <w:ilvl w:val="0"/>
          <w:numId w:val="2"/>
        </w:numPr>
        <w:ind w:left="720" w:hanging="360"/>
        <w:rPr>
          <w:rFonts w:ascii="Quicksand" w:cs="Quicksand" w:eastAsia="Quicksand" w:hAnsi="Quicksand"/>
        </w:rPr>
      </w:pPr>
      <w:bookmarkStart w:colFirst="0" w:colLast="0" w:name="_heading=h.w5l4c03j381g" w:id="15"/>
      <w:bookmarkEnd w:id="15"/>
      <w:r w:rsidDel="00000000" w:rsidR="00000000" w:rsidRPr="00000000">
        <w:rPr>
          <w:rFonts w:ascii="Quicksand" w:cs="Quicksand" w:eastAsia="Quicksand" w:hAnsi="Quicksand"/>
          <w:rtl w:val="0"/>
        </w:rPr>
        <w:t xml:space="preserve">Uznanie rakúskeho posunkového jazyka (2005)</w:t>
      </w:r>
    </w:p>
    <w:p w:rsidR="00000000" w:rsidDel="00000000" w:rsidP="00000000" w:rsidRDefault="00000000" w:rsidRPr="00000000" w14:paraId="0000004E">
      <w:pPr>
        <w:spacing w:after="240" w:before="240" w:lineRule="auto"/>
        <w:ind w:left="708" w:firstLine="0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Zásadný zlom nastal s právnym uznaním rakúskeho posunkového jazyka (ÖGS) v roku 2005. Týmto krokom sa posunkový jazyk oficiálne uznal ako plnohodnotný jazyk, rovnocenný s hovorenou nemčinou. Toto uznanie prispelo k väčšiemu zvýšeniu povedomia o kultúrnych a jazykových potrebách nepočujúcich osôb a zlepšilo ich postavenie v spoločnosti.</w:t>
      </w:r>
    </w:p>
    <w:p w:rsidR="00000000" w:rsidDel="00000000" w:rsidP="00000000" w:rsidRDefault="00000000" w:rsidRPr="00000000" w14:paraId="0000004F">
      <w:pPr>
        <w:pStyle w:val="Heading2"/>
        <w:numPr>
          <w:ilvl w:val="0"/>
          <w:numId w:val="2"/>
        </w:numPr>
        <w:ind w:left="720" w:hanging="360"/>
        <w:rPr>
          <w:rFonts w:ascii="Quicksand" w:cs="Quicksand" w:eastAsia="Quicksand" w:hAnsi="Quicksand"/>
        </w:rPr>
      </w:pPr>
      <w:bookmarkStart w:colFirst="0" w:colLast="0" w:name="_heading=h.yiv5rokqu133" w:id="16"/>
      <w:bookmarkEnd w:id="16"/>
      <w:r w:rsidDel="00000000" w:rsidR="00000000" w:rsidRPr="00000000">
        <w:rPr>
          <w:rFonts w:ascii="Quicksand" w:cs="Quicksand" w:eastAsia="Quicksand" w:hAnsi="Quicksand"/>
          <w:rtl w:val="0"/>
        </w:rPr>
        <w:t xml:space="preserve">Vyhlásenie ÖGS za nehmotné kultúrne dedičstvo (2013)</w:t>
      </w:r>
    </w:p>
    <w:p w:rsidR="00000000" w:rsidDel="00000000" w:rsidP="00000000" w:rsidRDefault="00000000" w:rsidRPr="00000000" w14:paraId="00000050">
      <w:pPr>
        <w:ind w:left="720" w:firstLine="0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V roku 2013 bol rakúsky posunkový jazyk (ÖGS) uznaný organizáciou UNESCO za nehmotné kultúrne dedičstvo.</w:t>
      </w:r>
    </w:p>
    <w:p w:rsidR="00000000" w:rsidDel="00000000" w:rsidP="00000000" w:rsidRDefault="00000000" w:rsidRPr="00000000" w14:paraId="00000051">
      <w:pPr>
        <w:ind w:left="720" w:firstLine="0"/>
        <w:rPr>
          <w:rFonts w:ascii="Quicksand" w:cs="Quicksand" w:eastAsia="Quicksand" w:hAnsi="Quicksand"/>
          <w:i w:val="1"/>
          <w:iCs w:val="1"/>
        </w:rPr>
      </w:pPr>
      <w:r w:rsidDel="00000000" w:rsidR="00000000" w:rsidRPr="00000000">
        <w:rPr>
          <w:rFonts w:ascii="Quicksand" w:cs="Quicksand" w:eastAsia="Quicksand" w:hAnsi="Quicksand"/>
          <w:i w:val="1"/>
          <w:iCs w:val="1"/>
          <w:rtl w:val="0"/>
        </w:rPr>
        <w:t xml:space="preserve">(pozri Krausneker 2016)</w:t>
      </w:r>
    </w:p>
    <w:p w:rsidR="00000000" w:rsidDel="00000000" w:rsidP="00000000" w:rsidRDefault="00000000" w:rsidRPr="00000000" w14:paraId="00000052">
      <w:pPr>
        <w:pStyle w:val="Heading1"/>
        <w:rPr>
          <w:rFonts w:ascii="Quicksand" w:cs="Quicksand" w:eastAsia="Quicksand" w:hAnsi="Quicksand"/>
        </w:rPr>
      </w:pPr>
      <w:bookmarkStart w:colFirst="0" w:colLast="0" w:name="_heading=h.v5s22brzacvn" w:id="17"/>
      <w:bookmarkEnd w:id="17"/>
      <w:r w:rsidDel="00000000" w:rsidR="00000000" w:rsidRPr="00000000">
        <w:rPr>
          <w:rFonts w:ascii="Quicksand" w:cs="Quicksand" w:eastAsia="Quicksand" w:hAnsi="Quicksand"/>
          <w:rtl w:val="0"/>
        </w:rPr>
        <w:t xml:space="preserve">Bibliografia</w:t>
      </w:r>
    </w:p>
    <w:p w:rsidR="00000000" w:rsidDel="00000000" w:rsidP="00000000" w:rsidRDefault="00000000" w:rsidRPr="00000000" w14:paraId="00000053">
      <w:pPr>
        <w:spacing w:line="360" w:lineRule="auto"/>
        <w:ind w:left="709" w:hanging="709"/>
        <w:rPr>
          <w:rFonts w:ascii="Quicksand" w:cs="Quicksand" w:eastAsia="Quicksand" w:hAnsi="Quicksand"/>
        </w:rPr>
      </w:pPr>
      <w:bookmarkStart w:colFirst="0" w:colLast="0" w:name="_heading=h.k6p749t97rrf" w:id="18"/>
      <w:bookmarkEnd w:id="18"/>
      <w:r w:rsidDel="00000000" w:rsidR="00000000" w:rsidRPr="00000000">
        <w:rPr>
          <w:rFonts w:ascii="Quicksand" w:cs="Quicksand" w:eastAsia="Quicksand" w:hAnsi="Quicksand"/>
          <w:rtl w:val="0"/>
        </w:rPr>
        <w:t xml:space="preserve">Bauman H.-D.L./Murray, J.M. (2016): Deaf Studies. In: Gertz, G./Boudreault, P. (Hg.): The Sage Deaf Studies Encyclopedia. Los Angeles: SAGE, S. 272-276.</w:t>
      </w:r>
    </w:p>
    <w:p w:rsidR="00000000" w:rsidDel="00000000" w:rsidP="00000000" w:rsidRDefault="00000000" w:rsidRPr="00000000" w14:paraId="00000054">
      <w:pPr>
        <w:spacing w:line="360" w:lineRule="auto"/>
        <w:ind w:left="709" w:hanging="709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Bravin, P.W. (2016): Wireless Technology. In: Gertz, G./Boudreault, P. (Hg.): The Sage Deaf Studies Encyclopedia. Los Angeles: SAGE, S. 955-957.</w:t>
      </w:r>
    </w:p>
    <w:p w:rsidR="00000000" w:rsidDel="00000000" w:rsidP="00000000" w:rsidRDefault="00000000" w:rsidRPr="00000000" w14:paraId="00000055">
      <w:pPr>
        <w:spacing w:line="360" w:lineRule="auto"/>
        <w:ind w:left="709" w:hanging="709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Emery, S.D. (2016): Deaf Rights Activism, Global Protests. In: Gertz, G./Boudreault, P. (Hg.): The Sage Deaf Studies Encyclopedia. Los Angeles: SAGE, S. 266-271.</w:t>
      </w:r>
    </w:p>
    <w:p w:rsidR="00000000" w:rsidDel="00000000" w:rsidP="00000000" w:rsidRDefault="00000000" w:rsidRPr="00000000" w14:paraId="00000056">
      <w:pPr>
        <w:spacing w:line="360" w:lineRule="auto"/>
        <w:ind w:left="709" w:hanging="709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Krausneker, V. (2016): International Linguistic Minority Law. In: Gertz, G./Boudreault, P. (Hg.): The Sage Deaf Studies Encyclopedia. Los Angeles: SAGE, S. 599-601.</w:t>
      </w:r>
    </w:p>
    <w:p w:rsidR="00000000" w:rsidDel="00000000" w:rsidP="00000000" w:rsidRDefault="00000000" w:rsidRPr="00000000" w14:paraId="00000057">
      <w:pPr>
        <w:spacing w:line="360" w:lineRule="auto"/>
        <w:ind w:left="709" w:hanging="709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Lindquist Bergey, J./Gannon, J.R. (2016): Deaf President Now Protest. In: Gertz, G./Boudreault, P. (Hg.): The Sage Deaf Studies Encyclopedia. Los Angeles: SAGE, S. 261-263.</w:t>
      </w:r>
    </w:p>
    <w:p w:rsidR="00000000" w:rsidDel="00000000" w:rsidP="00000000" w:rsidRDefault="00000000" w:rsidRPr="00000000" w14:paraId="00000058">
      <w:pPr>
        <w:spacing w:line="360" w:lineRule="auto"/>
        <w:ind w:left="709" w:hanging="709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Moss, K. (2016): International Day of Sign Language. In: Gertz, G./Boudreault, P. (Hg.): The Sage Deaf Studies Encyclopedia. Los Angeles: SAGE, S. 484-485.</w:t>
      </w:r>
    </w:p>
    <w:p w:rsidR="00000000" w:rsidDel="00000000" w:rsidP="00000000" w:rsidRDefault="00000000" w:rsidRPr="00000000" w14:paraId="00000059">
      <w:pPr>
        <w:spacing w:line="360" w:lineRule="auto"/>
        <w:ind w:left="709" w:hanging="709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Nieves, B. (2016): Deaf Education History. Pre-1880. In: Gertz, G./Boudreault, P. (Hg.): The Sage Deaf Studies Encyclopedia. Los Angeles: SAGE, S. 182-186.</w:t>
      </w:r>
    </w:p>
    <w:p w:rsidR="00000000" w:rsidDel="00000000" w:rsidP="00000000" w:rsidRDefault="00000000" w:rsidRPr="00000000" w14:paraId="0000005A">
      <w:pPr>
        <w:spacing w:line="360" w:lineRule="auto"/>
        <w:ind w:left="709" w:hanging="709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Pabsch, A. (2016): UN Convention on the Rights of Persons with Disabilities. In: Gertz, G./Boudreault, P. (Hg.): The Sage Deaf Studies Encyclopedia. Los Angeles: SAGE, S. 985-990.</w:t>
      </w:r>
    </w:p>
    <w:p w:rsidR="00000000" w:rsidDel="00000000" w:rsidP="00000000" w:rsidRDefault="00000000" w:rsidRPr="00000000" w14:paraId="0000005B">
      <w:pPr>
        <w:spacing w:line="360" w:lineRule="auto"/>
        <w:ind w:left="709" w:hanging="709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Rholetter Purdy, E. (2016): Deaf History. 1921-1980. In: Gertz, G./Boudreault, P. (Hg.): The Sage Deaf Studies Encyclopedia. Los Angeles: SAGE, S. 202-206.</w:t>
      </w:r>
    </w:p>
    <w:p w:rsidR="00000000" w:rsidDel="00000000" w:rsidP="00000000" w:rsidRDefault="00000000" w:rsidRPr="00000000" w14:paraId="0000005C">
      <w:pPr>
        <w:spacing w:line="360" w:lineRule="auto"/>
        <w:ind w:left="709" w:hanging="709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Rholetter, W. (2016): Artists. In: Gertz, G./Boudreault, P. (Hg.): The Sage Deaf Studies Encyclopedia. Los Angeles: SAGE, S. 42-45.</w:t>
      </w:r>
    </w:p>
    <w:p w:rsidR="00000000" w:rsidDel="00000000" w:rsidP="00000000" w:rsidRDefault="00000000" w:rsidRPr="00000000" w14:paraId="0000005D">
      <w:pPr>
        <w:ind w:left="720" w:firstLine="0"/>
        <w:rPr>
          <w:rFonts w:ascii="Quicksand" w:cs="Quicksand" w:eastAsia="Quicksand" w:hAnsi="Quicksand"/>
        </w:rPr>
      </w:pPr>
      <w:r w:rsidDel="00000000" w:rsidR="00000000" w:rsidRPr="00000000">
        <w:rPr>
          <w:rtl w:val="0"/>
        </w:rPr>
      </w:r>
    </w:p>
    <w:sectPr>
      <w:footerReference r:id="rId7" w:type="default"/>
      <w:pgSz w:h="16838" w:w="11906" w:orient="portrait"/>
      <w:pgMar w:bottom="1304" w:top="1417" w:left="1417" w:right="1417" w:header="708" w:footer="283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ptos"/>
  <w:font w:name="Play">
    <w:embedRegular w:fontKey="{00000000-0000-0000-0000-000000000000}" r:id="rId1" w:subsetted="0"/>
    <w:embedBold w:fontKey="{00000000-0000-0000-0000-000000000000}" r:id="rId2" w:subsetted="0"/>
  </w:font>
  <w:font w:name="Quicksand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tbl>
    <w:tblPr>
      <w:tblW w:type="auto" w:w="0"/>
      <w:tblLook w:firstColumn="1" w:firstRow="1" w:lastColumn="0" w:lastRow="0" w:noHBand="0" w:noVBand="1" w:val="04A0"/>
      <w:tblBorders>
        <w:top w:val="none"/>
        <w:left w:val="none"/>
        <w:bottom w:val="none"/>
        <w:right w:val="none"/>
        <w:insideH w:val="none"/>
        <w:insideV w:val="none"/>
      </w:tblBorders>
    </w:tblPr>
    <w:tblGrid>
      <w:gridCol w:w="3024"/>
      <w:gridCol w:w="3024"/>
      <w:gridCol w:w="3024"/>
    </w:tblGrid>
    <w:tr>
      <w:tc>
        <w:tcPr>
          <w:tcW w:type="dxa" w:w="1593"/>
          <w:vAlign w:val="center"/>
        </w:tcPr>
        <w:p>
          <w:pPr>
            <w:jc w:val="left"/>
          </w:pPr>
          <w:r>
            <w:drawing>
              <wp:inline>
                <wp:extent cx="921721" cy="208800"/>
                <wp:docPr id="1" name="Picture 1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emblem_SK_trim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1721" cy="208800"/>
                        </a:xfrm>
                        <a:prstGeom prst="rect"/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6168"/>
          <w:vAlign w:val="center"/>
        </w:tcPr>
        <w:p>
          <w:pPr>
            <w:spacing w:after="0" w:before="0" w:line="240" w:lineRule="auto"/>
            <w:jc w:val="left"/>
          </w:pPr>
          <w:r>
            <w:rPr>
              <w:rFonts w:ascii="Arial" w:hAnsi="Arial"/>
              <w:color w:val="5F5F5F"/>
              <w:sz w:val="11"/>
            </w:rPr>
            <w:t>Financované Európskou úniou. Vyjadrené názory a postoje sú názormi a postojmi autora(-ov) a nemusia nevyhnutne odrážať názory a postoje Európskej únie ani Európskej výkonnej agentúry pre vzdelávanie a kultúru (EACEA). Európska únia ani EACEA za ne nezodpovedajú.</w:t>
          </w:r>
        </w:p>
      </w:tc>
      <w:tc>
        <w:tcPr>
          <w:tcW w:type="dxa" w:w="1310"/>
          <w:vAlign w:val="center"/>
        </w:tcPr>
        <w:p>
          <w:pPr>
            <w:jc w:val="right"/>
          </w:pPr>
          <w:r>
            <w:drawing>
              <wp:inline>
                <wp:extent cx="742164" cy="280800"/>
                <wp:docPr id="2" name="Picture 2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logo_trim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2164" cy="280800"/>
                        </a:xfrm>
                        <a:prstGeom prst="rect"/>
                      </pic:spPr>
                    </pic:pic>
                  </a:graphicData>
                </a:graphic>
              </wp:inline>
            </w:drawing>
          </w:r>
        </w:p>
      </w:tc>
    </w:tr>
  </w:tbl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b w:val="1"/>
        <w:bCs w:val="1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en_GB"/>
      </w:rPr>
    </w:rPrDefault>
    <w:pPrDefault>
      <w:pPr>
        <w:spacing w:after="160" w:line="278" w:lineRule="auto"/>
        <w:jc w:val="both"/>
      </w:pPr>
    </w:pPrDefault>
  </w:docDefaults>
  <w:style w:type="table" w:styleId="TableNormal" w:default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b w:val="1"/>
      <w:bCs w:val="1"/>
      <w:color w:val="000000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b w:val="1"/>
      <w:bCs w:val="1"/>
      <w:color w:val="000000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b w:val="1"/>
      <w:bCs w:val="1"/>
      <w:sz w:val="40"/>
      <w:szCs w:val="40"/>
    </w:rPr>
  </w:style>
  <w:style w:type="paragraph" w:styleId="berschrift7">
    <w:name w:val="heading 7"/>
    <w:basedOn w:val="Standard"/>
    <w:next w:val="Standard"/>
    <w:link w:val="berschrift7Zchn"/>
    <w:uiPriority w:val="9"/>
    <w:semiHidden w:val="1"/>
    <w:unhideWhenUsed w:val="1"/>
    <w:qFormat w:val="1"/>
    <w:rsid w:val="00332078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berschrift8">
    <w:name w:val="heading 8"/>
    <w:basedOn w:val="Standard"/>
    <w:next w:val="Standard"/>
    <w:link w:val="berschrift8Zchn"/>
    <w:uiPriority w:val="9"/>
    <w:semiHidden w:val="1"/>
    <w:unhideWhenUsed w:val="1"/>
    <w:qFormat w:val="1"/>
    <w:rsid w:val="00332078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berschrift9">
    <w:name w:val="heading 9"/>
    <w:basedOn w:val="Standard"/>
    <w:next w:val="Standard"/>
    <w:link w:val="berschrift9Zchn"/>
    <w:uiPriority w:val="9"/>
    <w:semiHidden w:val="1"/>
    <w:unhideWhenUsed w:val="1"/>
    <w:qFormat w:val="1"/>
    <w:rsid w:val="00332078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Absatz-Standardschriftart" w:default="1">
    <w:name w:val="Default Paragraph Font"/>
    <w:uiPriority w:val="1"/>
    <w:semiHidden w:val="1"/>
    <w:unhideWhenUsed w:val="1"/>
  </w:style>
  <w:style w:type="table" w:styleId="NormaleTabelle" w:default="1">
    <w:name w:val="Normal Table"/>
    <w:uiPriority w:val="99"/>
    <w:semiHidden w:val="1"/>
    <w:unhideWhenUsed w:val="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 w:val="1"/>
    <w:unhideWhenUsed w:val="1"/>
  </w:style>
  <w:style w:type="character" w:styleId="berschrift1Zchn" w:customStyle="1">
    <w:name w:val="Überschrift 1 Zchn"/>
    <w:basedOn w:val="Absatz-Standardschriftart"/>
    <w:link w:val="berschrift1"/>
    <w:uiPriority w:val="9"/>
    <w:rsid w:val="00BD10C6"/>
    <w:rPr>
      <w:rFonts w:asciiTheme="majorHAnsi" w:cstheme="majorBidi" w:eastAsiaTheme="majorEastAsia" w:hAnsiTheme="majorHAnsi"/>
      <w:b w:val="1"/>
      <w:color w:val="000000" w:themeColor="text1"/>
      <w:sz w:val="28"/>
      <w:szCs w:val="40"/>
    </w:rPr>
  </w:style>
  <w:style w:type="character" w:styleId="berschrift2Zchn" w:customStyle="1">
    <w:name w:val="Überschrift 2 Zchn"/>
    <w:basedOn w:val="Absatz-Standardschriftart"/>
    <w:link w:val="berschrift2"/>
    <w:uiPriority w:val="9"/>
    <w:rsid w:val="00BD10C6"/>
    <w:rPr>
      <w:rFonts w:asciiTheme="majorHAnsi" w:cstheme="majorBidi" w:eastAsiaTheme="majorEastAsia" w:hAnsiTheme="majorHAnsi"/>
      <w:b w:val="1"/>
      <w:color w:val="000000" w:themeColor="text1"/>
      <w:szCs w:val="32"/>
    </w:rPr>
  </w:style>
  <w:style w:type="character" w:styleId="berschrift3Zchn" w:customStyle="1">
    <w:name w:val="Überschrift 3 Zchn"/>
    <w:basedOn w:val="Absatz-Standardschriftart"/>
    <w:link w:val="berschrift3"/>
    <w:uiPriority w:val="9"/>
    <w:semiHidden w:val="1"/>
    <w:rsid w:val="00332078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berschrift4Zchn" w:customStyle="1">
    <w:name w:val="Überschrift 4 Zchn"/>
    <w:basedOn w:val="Absatz-Standardschriftart"/>
    <w:link w:val="berschrift4"/>
    <w:uiPriority w:val="9"/>
    <w:semiHidden w:val="1"/>
    <w:rsid w:val="00332078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berschrift5Zchn" w:customStyle="1">
    <w:name w:val="Überschrift 5 Zchn"/>
    <w:basedOn w:val="Absatz-Standardschriftart"/>
    <w:link w:val="berschrift5"/>
    <w:uiPriority w:val="9"/>
    <w:semiHidden w:val="1"/>
    <w:rsid w:val="00332078"/>
    <w:rPr>
      <w:rFonts w:cstheme="majorBidi" w:eastAsiaTheme="majorEastAsia"/>
      <w:color w:val="0f4761" w:themeColor="accent1" w:themeShade="0000BF"/>
    </w:rPr>
  </w:style>
  <w:style w:type="character" w:styleId="berschrift6Zchn" w:customStyle="1">
    <w:name w:val="Überschrift 6 Zchn"/>
    <w:basedOn w:val="Absatz-Standardschriftart"/>
    <w:link w:val="berschrift6"/>
    <w:uiPriority w:val="9"/>
    <w:semiHidden w:val="1"/>
    <w:rsid w:val="00332078"/>
    <w:rPr>
      <w:rFonts w:cstheme="majorBidi" w:eastAsiaTheme="majorEastAsia"/>
      <w:i w:val="1"/>
      <w:iCs w:val="1"/>
      <w:color w:val="595959" w:themeColor="text1" w:themeTint="0000A6"/>
    </w:rPr>
  </w:style>
  <w:style w:type="character" w:styleId="berschrift7Zchn" w:customStyle="1">
    <w:name w:val="Überschrift 7 Zchn"/>
    <w:basedOn w:val="Absatz-Standardschriftart"/>
    <w:link w:val="berschrift7"/>
    <w:uiPriority w:val="9"/>
    <w:semiHidden w:val="1"/>
    <w:rsid w:val="00332078"/>
    <w:rPr>
      <w:rFonts w:cstheme="majorBidi" w:eastAsiaTheme="majorEastAsia"/>
      <w:color w:val="595959" w:themeColor="text1" w:themeTint="0000A6"/>
    </w:rPr>
  </w:style>
  <w:style w:type="character" w:styleId="berschrift8Zchn" w:customStyle="1">
    <w:name w:val="Überschrift 8 Zchn"/>
    <w:basedOn w:val="Absatz-Standardschriftart"/>
    <w:link w:val="berschrift8"/>
    <w:uiPriority w:val="9"/>
    <w:semiHidden w:val="1"/>
    <w:rsid w:val="00332078"/>
    <w:rPr>
      <w:rFonts w:cstheme="majorBidi" w:eastAsiaTheme="majorEastAsia"/>
      <w:i w:val="1"/>
      <w:iCs w:val="1"/>
      <w:color w:val="272727" w:themeColor="text1" w:themeTint="0000D8"/>
    </w:rPr>
  </w:style>
  <w:style w:type="character" w:styleId="berschrift9Zchn" w:customStyle="1">
    <w:name w:val="Überschrift 9 Zchn"/>
    <w:basedOn w:val="Absatz-Standardschriftart"/>
    <w:link w:val="berschrift9"/>
    <w:uiPriority w:val="9"/>
    <w:semiHidden w:val="1"/>
    <w:rsid w:val="00332078"/>
    <w:rPr>
      <w:rFonts w:cstheme="majorBidi" w:eastAsiaTheme="majorEastAsia"/>
      <w:color w:val="272727" w:themeColor="text1" w:themeTint="0000D8"/>
    </w:rPr>
  </w:style>
  <w:style w:type="character" w:styleId="TitelZchn" w:customStyle="1">
    <w:name w:val="Titel Zchn"/>
    <w:basedOn w:val="Absatz-Standardschriftart"/>
    <w:link w:val="Titel"/>
    <w:uiPriority w:val="10"/>
    <w:rsid w:val="00BD10C6"/>
    <w:rPr>
      <w:rFonts w:asciiTheme="majorHAnsi" w:cstheme="majorBidi" w:eastAsiaTheme="majorEastAsia" w:hAnsiTheme="majorHAnsi"/>
      <w:b w:val="1"/>
      <w:spacing w:val="-10"/>
      <w:kern w:val="28"/>
      <w:sz w:val="40"/>
      <w:szCs w:val="56"/>
    </w:rPr>
  </w:style>
  <w:style w:type="character" w:styleId="UntertitelZchn" w:customStyle="1">
    <w:name w:val="Untertitel Zchn"/>
    <w:basedOn w:val="Absatz-Standardschriftart"/>
    <w:link w:val="Untertitel"/>
    <w:uiPriority w:val="11"/>
    <w:rsid w:val="00332078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 w:val="1"/>
    <w:rsid w:val="00332078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ZitatZchn" w:customStyle="1">
    <w:name w:val="Zitat Zchn"/>
    <w:basedOn w:val="Absatz-Standardschriftart"/>
    <w:link w:val="Zitat"/>
    <w:uiPriority w:val="29"/>
    <w:rsid w:val="00332078"/>
    <w:rPr>
      <w:i w:val="1"/>
      <w:iCs w:val="1"/>
      <w:color w:val="404040" w:themeColor="text1" w:themeTint="0000BF"/>
    </w:rPr>
  </w:style>
  <w:style w:type="paragraph" w:styleId="Listenabsatz">
    <w:name w:val="List Paragraph"/>
    <w:basedOn w:val="Standard"/>
    <w:uiPriority w:val="34"/>
    <w:qFormat w:val="1"/>
    <w:rsid w:val="00332078"/>
    <w:pPr>
      <w:ind w:left="720"/>
      <w:contextualSpacing w:val="1"/>
    </w:pPr>
  </w:style>
  <w:style w:type="character" w:styleId="IntensiveHervorhebung">
    <w:name w:val="Intense Emphasis"/>
    <w:basedOn w:val="Absatz-Standardschriftart"/>
    <w:uiPriority w:val="21"/>
    <w:qFormat w:val="1"/>
    <w:rsid w:val="00332078"/>
    <w:rPr>
      <w:i w:val="1"/>
      <w:iCs w:val="1"/>
      <w:color w:val="0f4761" w:themeColor="accent1" w:themeShade="0000BF"/>
    </w:rPr>
  </w:style>
  <w:style w:type="paragraph" w:styleId="IntensivesZitat">
    <w:name w:val="Intense Quote"/>
    <w:basedOn w:val="Standard"/>
    <w:next w:val="Standard"/>
    <w:link w:val="IntensivesZitatZchn"/>
    <w:uiPriority w:val="30"/>
    <w:qFormat w:val="1"/>
    <w:rsid w:val="00332078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ntensivesZitatZchn" w:customStyle="1">
    <w:name w:val="Intensives Zitat Zchn"/>
    <w:basedOn w:val="Absatz-Standardschriftart"/>
    <w:link w:val="IntensivesZitat"/>
    <w:uiPriority w:val="30"/>
    <w:rsid w:val="00332078"/>
    <w:rPr>
      <w:i w:val="1"/>
      <w:iCs w:val="1"/>
      <w:color w:val="0f4761" w:themeColor="accent1" w:themeShade="0000BF"/>
    </w:rPr>
  </w:style>
  <w:style w:type="character" w:styleId="IntensiverVerweis">
    <w:name w:val="Intense Reference"/>
    <w:basedOn w:val="Absatz-Standardschriftart"/>
    <w:uiPriority w:val="32"/>
    <w:qFormat w:val="1"/>
    <w:rsid w:val="00332078"/>
    <w:rPr>
      <w:b w:val="1"/>
      <w:bCs w:val="1"/>
      <w:smallCaps w:val="1"/>
      <w:color w:val="0f4761" w:themeColor="accent1" w:themeShade="0000BF"/>
      <w:spacing w:val="5"/>
    </w:rPr>
  </w:style>
  <w:style w:type="paragraph" w:styleId="Kopfzeile">
    <w:name w:val="header"/>
    <w:basedOn w:val="Standard"/>
    <w:link w:val="KopfzeileZchn"/>
    <w:uiPriority w:val="99"/>
    <w:unhideWhenUsed w:val="1"/>
    <w:rsid w:val="00BD10C6"/>
    <w:pPr>
      <w:tabs>
        <w:tab w:val="center" w:pos="4536"/>
        <w:tab w:val="right" w:pos="9072"/>
      </w:tabs>
      <w:spacing w:after="0" w:line="240" w:lineRule="auto"/>
    </w:pPr>
  </w:style>
  <w:style w:type="character" w:styleId="KopfzeileZchn" w:customStyle="1">
    <w:name w:val="Kopfzeile Zchn"/>
    <w:basedOn w:val="Absatz-Standardschriftart"/>
    <w:link w:val="Kopfzeile"/>
    <w:uiPriority w:val="99"/>
    <w:rsid w:val="00BD10C6"/>
  </w:style>
  <w:style w:type="paragraph" w:styleId="Fuzeile">
    <w:name w:val="footer"/>
    <w:basedOn w:val="Standard"/>
    <w:link w:val="FuzeileZchn"/>
    <w:uiPriority w:val="99"/>
    <w:unhideWhenUsed w:val="1"/>
    <w:rsid w:val="00BD10C6"/>
    <w:pPr>
      <w:tabs>
        <w:tab w:val="center" w:pos="4536"/>
        <w:tab w:val="right" w:pos="9072"/>
      </w:tabs>
      <w:spacing w:after="0" w:line="240" w:lineRule="auto"/>
    </w:pPr>
  </w:style>
  <w:style w:type="character" w:styleId="FuzeileZchn" w:customStyle="1">
    <w:name w:val="Fußzeile Zchn"/>
    <w:basedOn w:val="Absatz-Standardschriftart"/>
    <w:link w:val="Fuzeile"/>
    <w:uiPriority w:val="99"/>
    <w:rsid w:val="00BD10C6"/>
  </w:style>
  <w:style w:type="paragraph" w:styleId="Inhaltsverzeichnisberschrift">
    <w:name w:val="TOC Heading"/>
    <w:basedOn w:val="berschrift1"/>
    <w:next w:val="Standard"/>
    <w:uiPriority w:val="39"/>
    <w:unhideWhenUsed w:val="1"/>
    <w:qFormat w:val="1"/>
    <w:rsid w:val="00BD10C6"/>
    <w:pPr>
      <w:spacing w:after="0" w:before="240" w:line="259" w:lineRule="auto"/>
      <w:jc w:val="left"/>
      <w:outlineLvl w:val="9"/>
    </w:pPr>
    <w:rPr>
      <w:b w:val="0"/>
      <w:color w:val="0f4761" w:themeColor="accent1" w:themeShade="0000BF"/>
      <w:kern w:val="0"/>
      <w:sz w:val="32"/>
      <w:szCs w:val="32"/>
      <w:lang w:eastAsia="de-DE"/>
    </w:rPr>
  </w:style>
  <w:style w:type="paragraph" w:styleId="Verzeichnis1">
    <w:name w:val="toc 1"/>
    <w:basedOn w:val="Standard"/>
    <w:next w:val="Standard"/>
    <w:autoRedefine w:val="1"/>
    <w:uiPriority w:val="39"/>
    <w:unhideWhenUsed w:val="1"/>
    <w:rsid w:val="00BD10C6"/>
    <w:pPr>
      <w:spacing w:after="100"/>
    </w:pPr>
  </w:style>
  <w:style w:type="paragraph" w:styleId="Verzeichnis2">
    <w:name w:val="toc 2"/>
    <w:basedOn w:val="Standard"/>
    <w:next w:val="Standard"/>
    <w:autoRedefine w:val="1"/>
    <w:uiPriority w:val="39"/>
    <w:unhideWhenUsed w:val="1"/>
    <w:rsid w:val="00BD10C6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 w:val="1"/>
    <w:rsid w:val="00BD10C6"/>
    <w:rPr>
      <w:color w:val="467886" w:themeColor="hyperlink"/>
      <w:u w:val="single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'1.0' encoding='UTF-8' standalone='yes'?>
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Quicksand-regular.ttf"/><Relationship Id="rId4" Type="http://schemas.openxmlformats.org/officeDocument/2006/relationships/font" Target="fonts/Quicksand-bold.ttf"/></Relationships>
</file>

<file path=word/_rels/foot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8dDukccNNVW4uE1ephjuU2GcYfw==">CgMxLjAyDmguc201bXg3dzAxZzkyMg1oLjZvbWNrN3N1OTRoMg5oLmZranhvMzNmZmw1azIOaC43N2IzeHU0Y3ZiaXQyDmgucGE3czdlNnB2bjZrMg5oLjZ5amF2dWk2eTVsajIOaC4xanNyY2s5cHM3dmMyDmguMm1yaHczb2E4cjdnMg5oLmFvY3lnZ2oxNGg0MDIOaC4yaTNhc3ZmMGp0amcyDmguZjE2d2Z4cDJzbmtzMg5oLm16aWhqNjlweWYxdjIOaC43bWdmOTh4MHZkdmgyDmguNG5xZHFlanR4aTh5Mg5oLnBrNjJpcGpjOTF3eDIOaC53NWw0YzAzajM4MWcyDmgueWl2NXJva3F1MTMzMg5oLnY1czIyYnJ6YWN2bjIOaC5rNnA3NDl0OTdycmY4AHIhMXgzZDJscXJEbGpSbnlNanN3dk1mTzViVGRNZHd1ODh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2025-01-21T16:17:00Z</dcterms:created>
  <dc:creator>Elvira Seitinger</dc:creator>
</cp:coreProperties>
</file>